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C58" w:rsidRDefault="00586C58" w:rsidP="00586C58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1</w:t>
      </w:r>
    </w:p>
    <w:p w:rsidR="00586C58" w:rsidRDefault="00586C58" w:rsidP="00586C58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bCs/>
          <w:sz w:val="40"/>
          <w:szCs w:val="40"/>
        </w:rPr>
      </w:pPr>
    </w:p>
    <w:p w:rsidR="00586C58" w:rsidRDefault="00586C58" w:rsidP="00586C58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bCs/>
          <w:sz w:val="40"/>
          <w:szCs w:val="40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bCs/>
          <w:sz w:val="40"/>
          <w:szCs w:val="40"/>
        </w:rPr>
        <w:t>上海高校智库内涵建设项目申报指南</w:t>
      </w:r>
    </w:p>
    <w:bookmarkEnd w:id="0"/>
    <w:p w:rsidR="00586C58" w:rsidRDefault="00586C58" w:rsidP="00586C58">
      <w:pPr>
        <w:spacing w:line="500" w:lineRule="exact"/>
        <w:jc w:val="center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</w:t>
      </w:r>
      <w:r>
        <w:rPr>
          <w:rFonts w:ascii="仿宋_GB2312" w:eastAsia="仿宋_GB2312" w:hAnsi="仿宋_GB2312" w:cs="仿宋_GB2312"/>
          <w:sz w:val="28"/>
          <w:szCs w:val="28"/>
        </w:rPr>
        <w:t>2018</w:t>
      </w:r>
      <w:r>
        <w:rPr>
          <w:rFonts w:ascii="仿宋_GB2312" w:eastAsia="仿宋_GB2312" w:hAnsi="仿宋_GB2312" w:cs="仿宋_GB2312" w:hint="eastAsia"/>
          <w:sz w:val="28"/>
          <w:szCs w:val="28"/>
        </w:rPr>
        <w:t>版）</w:t>
      </w:r>
    </w:p>
    <w:p w:rsidR="00586C58" w:rsidRDefault="00586C58" w:rsidP="00586C58">
      <w:pPr>
        <w:spacing w:line="500" w:lineRule="exact"/>
      </w:pPr>
    </w:p>
    <w:p w:rsidR="00586C58" w:rsidRDefault="00586C58" w:rsidP="00586C58">
      <w:pPr>
        <w:pStyle w:val="a3"/>
        <w:spacing w:line="500" w:lineRule="exact"/>
        <w:ind w:firstLineChars="0" w:firstLine="0"/>
        <w:rPr>
          <w:rFonts w:ascii="黑体" w:eastAsia="黑体" w:hAnsi="黑体" w:cs="黑体"/>
          <w:bCs/>
          <w:sz w:val="30"/>
          <w:szCs w:val="30"/>
        </w:rPr>
      </w:pPr>
      <w:r>
        <w:rPr>
          <w:rFonts w:ascii="黑体" w:eastAsia="黑体" w:hAnsi="黑体" w:cs="黑体" w:hint="eastAsia"/>
          <w:bCs/>
          <w:sz w:val="30"/>
          <w:szCs w:val="30"/>
        </w:rPr>
        <w:t>一、国家层面：</w:t>
      </w:r>
    </w:p>
    <w:p w:rsidR="00586C58" w:rsidRDefault="00586C58" w:rsidP="00586C58">
      <w:pPr>
        <w:pStyle w:val="a3"/>
        <w:spacing w:line="500" w:lineRule="exact"/>
        <w:ind w:firstLine="650"/>
        <w:rPr>
          <w:rFonts w:ascii="仿宋_GB2312" w:eastAsia="仿宋_GB2312" w:hAnsi="仿宋_GB2312" w:cs="仿宋_GB2312"/>
          <w:b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sz w:val="30"/>
          <w:szCs w:val="30"/>
        </w:rPr>
        <w:t>1.经济领域</w:t>
      </w:r>
    </w:p>
    <w:p w:rsidR="00586C58" w:rsidRDefault="00586C58" w:rsidP="00586C58">
      <w:pPr>
        <w:spacing w:line="50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中国高质量增长的内涵和路径、国际经济走向对中国宏观经济的影响、“中国制造2025”的实现路径和挑战、中国与他国的贸易争端、国际贸易规则修订及走势、中国核心技术突破路径、中国金融风险的防范、国际顶尖智库对国际和中国经济形势的研判等。</w:t>
      </w:r>
    </w:p>
    <w:p w:rsidR="00586C58" w:rsidRDefault="00586C58" w:rsidP="00586C58">
      <w:pPr>
        <w:pStyle w:val="a3"/>
        <w:spacing w:line="500" w:lineRule="exact"/>
        <w:ind w:firstLine="650"/>
        <w:rPr>
          <w:rFonts w:ascii="仿宋_GB2312" w:eastAsia="仿宋_GB2312" w:hAnsi="仿宋_GB2312" w:cs="仿宋_GB2312"/>
          <w:b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sz w:val="30"/>
          <w:szCs w:val="30"/>
        </w:rPr>
        <w:t>2.政治和外交领域</w:t>
      </w:r>
    </w:p>
    <w:p w:rsidR="00586C58" w:rsidRDefault="00586C58" w:rsidP="00586C58">
      <w:pPr>
        <w:spacing w:line="50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党的建设、意识形态工作领导权、依法治国、社会主义民主政治建设、“一带一路”倡议中的风险防范和争端解决、中国周边地区局势发展和走向、区域国别研究、中国国家安全面临的问题和挑战、中国主场外交、中国国际舆情风险、大型纪念活动的策划和风险防范、国际顶尖智库对国际政治形势的研判等。</w:t>
      </w:r>
    </w:p>
    <w:p w:rsidR="00586C58" w:rsidRDefault="00586C58" w:rsidP="00586C58">
      <w:pPr>
        <w:spacing w:line="500" w:lineRule="exact"/>
        <w:ind w:firstLineChars="200" w:firstLine="650"/>
        <w:rPr>
          <w:rFonts w:ascii="仿宋_GB2312" w:eastAsia="仿宋_GB2312" w:hAnsi="仿宋_GB2312" w:cs="仿宋_GB2312"/>
          <w:b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sz w:val="30"/>
          <w:szCs w:val="30"/>
        </w:rPr>
        <w:t>3.文化建设</w:t>
      </w:r>
    </w:p>
    <w:p w:rsidR="00586C58" w:rsidRDefault="00586C58" w:rsidP="00586C58">
      <w:pPr>
        <w:spacing w:line="50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社会主义核心价值观、思想道德建设、文化事业和文化产业、公共文化服务体系等方向、讲好中国故事和对外传播等。</w:t>
      </w:r>
    </w:p>
    <w:p w:rsidR="00586C58" w:rsidRDefault="00586C58" w:rsidP="00586C58">
      <w:pPr>
        <w:spacing w:line="500" w:lineRule="exact"/>
        <w:ind w:firstLineChars="200" w:firstLine="650"/>
        <w:rPr>
          <w:rFonts w:ascii="仿宋_GB2312" w:eastAsia="仿宋_GB2312" w:hAnsi="仿宋_GB2312" w:cs="仿宋_GB2312"/>
          <w:b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sz w:val="30"/>
          <w:szCs w:val="30"/>
        </w:rPr>
        <w:t>4.社会建设</w:t>
      </w:r>
    </w:p>
    <w:p w:rsidR="00586C58" w:rsidRDefault="00586C58" w:rsidP="00586C58">
      <w:pPr>
        <w:spacing w:line="500" w:lineRule="exact"/>
        <w:ind w:firstLineChars="200" w:firstLine="600"/>
        <w:rPr>
          <w:rFonts w:ascii="仿宋_GB2312" w:eastAsia="仿宋_GB2312" w:hAnsi="仿宋_GB2312" w:cs="仿宋_GB2312"/>
          <w:color w:val="222222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222222"/>
          <w:sz w:val="30"/>
          <w:szCs w:val="30"/>
        </w:rPr>
        <w:t>社会保障体系、就业、人口、养老、脱贫攻坚战、网络治理、国内舆情引导和风险防范、食品安全、医药卫生体制改革、基层医疗卫生服务体系、基层治理创新等。</w:t>
      </w:r>
    </w:p>
    <w:p w:rsidR="00586C58" w:rsidRDefault="00586C58" w:rsidP="00586C58">
      <w:pPr>
        <w:spacing w:line="500" w:lineRule="exact"/>
        <w:ind w:firstLineChars="200" w:firstLine="650"/>
        <w:rPr>
          <w:rFonts w:ascii="仿宋_GB2312" w:eastAsia="仿宋_GB2312" w:hAnsi="仿宋_GB2312" w:cs="仿宋_GB2312"/>
          <w:b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sz w:val="30"/>
          <w:szCs w:val="30"/>
        </w:rPr>
        <w:t>5.生态文明建设</w:t>
      </w:r>
    </w:p>
    <w:p w:rsidR="00586C58" w:rsidRDefault="00586C58" w:rsidP="00586C58">
      <w:pPr>
        <w:spacing w:line="500" w:lineRule="exact"/>
        <w:ind w:firstLineChars="200" w:firstLine="600"/>
        <w:rPr>
          <w:rFonts w:ascii="仿宋_GB2312" w:eastAsia="仿宋_GB2312" w:hAnsi="仿宋_GB2312" w:cs="仿宋_GB2312"/>
          <w:color w:val="222222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222222"/>
          <w:sz w:val="30"/>
          <w:szCs w:val="30"/>
        </w:rPr>
        <w:t>推进绿色发展、污染防治、生态系统保护和监管、对生态能</w:t>
      </w:r>
      <w:r>
        <w:rPr>
          <w:rFonts w:ascii="仿宋_GB2312" w:eastAsia="仿宋_GB2312" w:hAnsi="仿宋_GB2312" w:cs="仿宋_GB2312" w:hint="eastAsia"/>
          <w:color w:val="222222"/>
          <w:sz w:val="30"/>
          <w:szCs w:val="30"/>
        </w:rPr>
        <w:lastRenderedPageBreak/>
        <w:t>源形势的研判等。</w:t>
      </w:r>
    </w:p>
    <w:p w:rsidR="00586C58" w:rsidRDefault="00586C58" w:rsidP="00586C58">
      <w:pPr>
        <w:spacing w:line="500" w:lineRule="exact"/>
        <w:ind w:firstLineChars="200" w:firstLine="560"/>
        <w:rPr>
          <w:rFonts w:ascii="仿宋_GB2312" w:eastAsia="仿宋_GB2312" w:hAnsi="仿宋_GB2312" w:cs="仿宋_GB2312"/>
          <w:color w:val="222222"/>
          <w:sz w:val="28"/>
          <w:szCs w:val="28"/>
        </w:rPr>
      </w:pPr>
    </w:p>
    <w:p w:rsidR="00586C58" w:rsidRDefault="00586C58" w:rsidP="00586C58">
      <w:pPr>
        <w:pStyle w:val="a3"/>
        <w:spacing w:line="500" w:lineRule="exact"/>
        <w:ind w:firstLineChars="0" w:firstLine="0"/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二、区域层面</w:t>
      </w:r>
    </w:p>
    <w:p w:rsidR="00586C58" w:rsidRDefault="00586C58" w:rsidP="00586C58">
      <w:pPr>
        <w:spacing w:line="500" w:lineRule="exact"/>
        <w:ind w:firstLineChars="200" w:firstLine="600"/>
        <w:rPr>
          <w:rFonts w:ascii="仿宋_GB2312" w:eastAsia="仿宋_GB2312" w:hAnsi="仿宋_GB2312" w:cs="仿宋_GB2312"/>
          <w:color w:val="222222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222222"/>
          <w:sz w:val="30"/>
          <w:szCs w:val="30"/>
        </w:rPr>
        <w:t>1. 长三角高质量一体化发展（地区交通互联互通、能源协调发展、产业布局协同创新、数据资源共享和信息网络联通、民生公共服务一体化、市场开放、营商环境一体化等）。</w:t>
      </w:r>
    </w:p>
    <w:p w:rsidR="00586C58" w:rsidRDefault="00586C58" w:rsidP="00586C58">
      <w:pPr>
        <w:spacing w:line="500" w:lineRule="exact"/>
        <w:ind w:firstLineChars="200" w:firstLine="600"/>
        <w:rPr>
          <w:rFonts w:ascii="仿宋_GB2312" w:eastAsia="仿宋_GB2312" w:hAnsi="仿宋_GB2312" w:cs="仿宋_GB2312"/>
          <w:color w:val="222222"/>
          <w:sz w:val="30"/>
          <w:szCs w:val="30"/>
        </w:rPr>
      </w:pPr>
      <w:r>
        <w:rPr>
          <w:rFonts w:ascii="仿宋_GB2312" w:eastAsia="仿宋_GB2312" w:hAnsi="仿宋_GB2312" w:cs="仿宋_GB2312"/>
          <w:color w:val="222222"/>
          <w:sz w:val="30"/>
          <w:szCs w:val="30"/>
        </w:rPr>
        <w:t>2</w:t>
      </w:r>
      <w:r>
        <w:rPr>
          <w:rFonts w:ascii="仿宋_GB2312" w:eastAsia="仿宋_GB2312" w:hAnsi="仿宋_GB2312" w:cs="仿宋_GB2312" w:hint="eastAsia"/>
          <w:color w:val="222222"/>
          <w:sz w:val="30"/>
          <w:szCs w:val="30"/>
        </w:rPr>
        <w:t>. 长江经济带协同发展（区域合作协调机制、城市群的协调发展和环境保护等）。</w:t>
      </w:r>
    </w:p>
    <w:p w:rsidR="00586C58" w:rsidRDefault="00586C58" w:rsidP="00586C58">
      <w:pPr>
        <w:spacing w:line="500" w:lineRule="exact"/>
        <w:ind w:firstLineChars="200" w:firstLine="600"/>
        <w:rPr>
          <w:rFonts w:ascii="仿宋_GB2312" w:eastAsia="仿宋_GB2312" w:hAnsi="仿宋_GB2312" w:cs="仿宋_GB2312"/>
          <w:color w:val="222222"/>
          <w:sz w:val="30"/>
          <w:szCs w:val="30"/>
        </w:rPr>
      </w:pPr>
      <w:r>
        <w:rPr>
          <w:rFonts w:ascii="仿宋_GB2312" w:eastAsia="仿宋_GB2312" w:hAnsi="仿宋_GB2312" w:cs="仿宋_GB2312"/>
          <w:color w:val="222222"/>
          <w:sz w:val="30"/>
          <w:szCs w:val="30"/>
        </w:rPr>
        <w:t>3</w:t>
      </w:r>
      <w:r>
        <w:rPr>
          <w:rFonts w:ascii="仿宋_GB2312" w:eastAsia="仿宋_GB2312" w:hAnsi="仿宋_GB2312" w:cs="仿宋_GB2312" w:hint="eastAsia"/>
          <w:color w:val="222222"/>
          <w:sz w:val="30"/>
          <w:szCs w:val="30"/>
        </w:rPr>
        <w:t>. 世界级城市群的构建与核心城市作用。</w:t>
      </w:r>
    </w:p>
    <w:p w:rsidR="00586C58" w:rsidRDefault="00586C58" w:rsidP="00586C58">
      <w:pPr>
        <w:spacing w:line="50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t>4</w:t>
      </w:r>
      <w:r>
        <w:rPr>
          <w:rFonts w:ascii="仿宋_GB2312" w:eastAsia="仿宋_GB2312" w:hAnsi="仿宋_GB2312" w:cs="仿宋_GB2312" w:hint="eastAsia"/>
          <w:sz w:val="30"/>
          <w:szCs w:val="30"/>
        </w:rPr>
        <w:t>. 上海改革开放再出发重大战略及举措。</w:t>
      </w:r>
    </w:p>
    <w:p w:rsidR="00586C58" w:rsidRDefault="00586C58" w:rsidP="00586C58">
      <w:pPr>
        <w:spacing w:line="50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t>5</w:t>
      </w:r>
      <w:r>
        <w:rPr>
          <w:rFonts w:ascii="仿宋_GB2312" w:eastAsia="仿宋_GB2312" w:hAnsi="仿宋_GB2312" w:cs="仿宋_GB2312" w:hint="eastAsia"/>
          <w:sz w:val="30"/>
          <w:szCs w:val="30"/>
        </w:rPr>
        <w:t>. 上海“四大品牌”建设。</w:t>
      </w:r>
    </w:p>
    <w:p w:rsidR="00586C58" w:rsidRDefault="00586C58" w:rsidP="00586C58">
      <w:pPr>
        <w:spacing w:line="50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t>6</w:t>
      </w:r>
      <w:r>
        <w:rPr>
          <w:rFonts w:ascii="仿宋_GB2312" w:eastAsia="仿宋_GB2312" w:hAnsi="仿宋_GB2312" w:cs="仿宋_GB2312" w:hint="eastAsia"/>
          <w:sz w:val="30"/>
          <w:szCs w:val="30"/>
        </w:rPr>
        <w:t>. 上海“五个中心”建设。</w:t>
      </w:r>
    </w:p>
    <w:p w:rsidR="00586C58" w:rsidRDefault="00586C58" w:rsidP="00586C58">
      <w:pPr>
        <w:spacing w:line="50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t>7</w:t>
      </w:r>
      <w:r>
        <w:rPr>
          <w:rFonts w:ascii="仿宋_GB2312" w:eastAsia="仿宋_GB2312" w:hAnsi="仿宋_GB2312" w:cs="仿宋_GB2312" w:hint="eastAsia"/>
          <w:sz w:val="30"/>
          <w:szCs w:val="30"/>
        </w:rPr>
        <w:t>. 中国国际进口博览会。</w:t>
      </w:r>
    </w:p>
    <w:p w:rsidR="00586C58" w:rsidRDefault="00586C58" w:rsidP="00586C58">
      <w:pPr>
        <w:spacing w:line="50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t>8</w:t>
      </w:r>
      <w:r>
        <w:rPr>
          <w:rFonts w:ascii="仿宋_GB2312" w:eastAsia="仿宋_GB2312" w:hAnsi="仿宋_GB2312" w:cs="仿宋_GB2312" w:hint="eastAsia"/>
          <w:sz w:val="30"/>
          <w:szCs w:val="30"/>
        </w:rPr>
        <w:t>. 自贸区升级和自贸港建设。</w:t>
      </w:r>
    </w:p>
    <w:p w:rsidR="00586C58" w:rsidRDefault="00586C58" w:rsidP="00586C58">
      <w:pPr>
        <w:spacing w:line="50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t>9</w:t>
      </w:r>
      <w:r>
        <w:rPr>
          <w:rFonts w:ascii="仿宋_GB2312" w:eastAsia="仿宋_GB2312" w:hAnsi="仿宋_GB2312" w:cs="仿宋_GB2312" w:hint="eastAsia"/>
          <w:sz w:val="30"/>
          <w:szCs w:val="30"/>
        </w:rPr>
        <w:t>. 优化上海营商环境。</w:t>
      </w:r>
    </w:p>
    <w:p w:rsidR="00586C58" w:rsidRDefault="00586C58" w:rsidP="00586C58">
      <w:pPr>
        <w:spacing w:line="50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t>10</w:t>
      </w:r>
      <w:r>
        <w:rPr>
          <w:rFonts w:ascii="仿宋_GB2312" w:eastAsia="仿宋_GB2312" w:hAnsi="仿宋_GB2312" w:cs="仿宋_GB2312" w:hint="eastAsia"/>
          <w:sz w:val="30"/>
          <w:szCs w:val="30"/>
        </w:rPr>
        <w:t>. 人工智能的发展趋势和上海布局。</w:t>
      </w:r>
    </w:p>
    <w:p w:rsidR="00586C58" w:rsidRDefault="00586C58" w:rsidP="00586C58">
      <w:pPr>
        <w:spacing w:line="50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t>11</w:t>
      </w:r>
      <w:r>
        <w:rPr>
          <w:rFonts w:ascii="仿宋_GB2312" w:eastAsia="仿宋_GB2312" w:hAnsi="仿宋_GB2312" w:cs="仿宋_GB2312" w:hint="eastAsia"/>
          <w:sz w:val="30"/>
          <w:szCs w:val="30"/>
        </w:rPr>
        <w:t>. 国际化大都市实施乡村振兴战略的路径和模式选择。</w:t>
      </w:r>
    </w:p>
    <w:p w:rsidR="00586C58" w:rsidRDefault="00586C58" w:rsidP="00586C58">
      <w:pPr>
        <w:spacing w:line="50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t>12</w:t>
      </w:r>
      <w:r>
        <w:rPr>
          <w:rFonts w:ascii="仿宋_GB2312" w:eastAsia="仿宋_GB2312" w:hAnsi="仿宋_GB2312" w:cs="仿宋_GB2312" w:hint="eastAsia"/>
          <w:sz w:val="30"/>
          <w:szCs w:val="30"/>
        </w:rPr>
        <w:t>. 上海提升创新浓度对策研究。</w:t>
      </w:r>
    </w:p>
    <w:p w:rsidR="00586C58" w:rsidRDefault="00586C58" w:rsidP="00586C58">
      <w:pPr>
        <w:spacing w:line="50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1</w:t>
      </w:r>
      <w:r>
        <w:rPr>
          <w:rFonts w:ascii="仿宋_GB2312" w:eastAsia="仿宋_GB2312" w:hAnsi="仿宋_GB2312" w:cs="仿宋_GB2312"/>
          <w:sz w:val="30"/>
          <w:szCs w:val="30"/>
        </w:rPr>
        <w:t>3</w:t>
      </w:r>
      <w:r>
        <w:rPr>
          <w:rFonts w:ascii="仿宋_GB2312" w:eastAsia="仿宋_GB2312" w:hAnsi="仿宋_GB2312" w:cs="仿宋_GB2312" w:hint="eastAsia"/>
          <w:sz w:val="30"/>
          <w:szCs w:val="30"/>
        </w:rPr>
        <w:t>. 上海扩大服务功能的瓶颈和关键举措。</w:t>
      </w:r>
    </w:p>
    <w:p w:rsidR="00586C58" w:rsidRDefault="00586C58" w:rsidP="00586C58">
      <w:pPr>
        <w:spacing w:line="50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1</w:t>
      </w:r>
      <w:r>
        <w:rPr>
          <w:rFonts w:ascii="仿宋_GB2312" w:eastAsia="仿宋_GB2312" w:hAnsi="仿宋_GB2312" w:cs="仿宋_GB2312"/>
          <w:sz w:val="30"/>
          <w:szCs w:val="30"/>
        </w:rPr>
        <w:t>4</w:t>
      </w:r>
      <w:r>
        <w:rPr>
          <w:rFonts w:ascii="仿宋_GB2312" w:eastAsia="仿宋_GB2312" w:hAnsi="仿宋_GB2312" w:cs="仿宋_GB2312" w:hint="eastAsia"/>
          <w:sz w:val="30"/>
          <w:szCs w:val="30"/>
        </w:rPr>
        <w:t>. 特大城市的公共安全保障。</w:t>
      </w:r>
    </w:p>
    <w:p w:rsidR="00586C58" w:rsidRDefault="00586C58" w:rsidP="00586C58">
      <w:pPr>
        <w:spacing w:line="50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1</w:t>
      </w:r>
      <w:r>
        <w:rPr>
          <w:rFonts w:ascii="仿宋_GB2312" w:eastAsia="仿宋_GB2312" w:hAnsi="仿宋_GB2312" w:cs="仿宋_GB2312"/>
          <w:sz w:val="30"/>
          <w:szCs w:val="30"/>
        </w:rPr>
        <w:t>5</w:t>
      </w:r>
      <w:r>
        <w:rPr>
          <w:rFonts w:ascii="仿宋_GB2312" w:eastAsia="仿宋_GB2312" w:hAnsi="仿宋_GB2312" w:cs="仿宋_GB2312" w:hint="eastAsia"/>
          <w:sz w:val="30"/>
          <w:szCs w:val="30"/>
        </w:rPr>
        <w:t>. 上海建设“一带一路”桥头堡。</w:t>
      </w:r>
    </w:p>
    <w:p w:rsidR="00586C58" w:rsidRDefault="00586C58" w:rsidP="00586C58">
      <w:pPr>
        <w:spacing w:line="50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16. 上海建设亚洲医学中心城市</w:t>
      </w:r>
    </w:p>
    <w:p w:rsidR="008F6C22" w:rsidRDefault="008F6C22"/>
    <w:sectPr w:rsidR="008F6C22" w:rsidSect="00EC230F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黑体">
    <w:panose1 w:val="02010609060101010101"/>
    <w:charset w:val="50"/>
    <w:family w:val="auto"/>
    <w:pitch w:val="variable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C58"/>
    <w:rsid w:val="00456A60"/>
    <w:rsid w:val="00586C58"/>
    <w:rsid w:val="008F6C22"/>
    <w:rsid w:val="00EC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7B60E9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C58"/>
    <w:pPr>
      <w:widowControl w:val="0"/>
      <w:jc w:val="both"/>
    </w:pPr>
    <w:rPr>
      <w:rFonts w:ascii="Times New Roman" w:eastAsia="宋体" w:hAnsi="Times New Roman" w:cs="Times New Roman"/>
      <w:sz w:val="21"/>
      <w:szCs w:val="20"/>
    </w:rPr>
  </w:style>
  <w:style w:type="paragraph" w:styleId="1">
    <w:name w:val="heading 1"/>
    <w:basedOn w:val="a"/>
    <w:next w:val="a"/>
    <w:link w:val="10"/>
    <w:uiPriority w:val="9"/>
    <w:qFormat/>
    <w:rsid w:val="00456A60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6A6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6A60"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题目2"/>
    <w:basedOn w:val="a"/>
    <w:next w:val="a"/>
    <w:rsid w:val="00456A60"/>
    <w:pPr>
      <w:keepNext/>
      <w:widowControl/>
      <w:pBdr>
        <w:top w:val="nil"/>
        <w:left w:val="nil"/>
        <w:bottom w:val="nil"/>
        <w:right w:val="nil"/>
        <w:between w:val="nil"/>
        <w:bar w:val="nil"/>
      </w:pBdr>
      <w:jc w:val="left"/>
      <w:outlineLvl w:val="0"/>
    </w:pPr>
    <w:rPr>
      <w:rFonts w:ascii="Helvetica" w:eastAsia="Helvetica" w:hAnsi="Helvetica" w:cs="Helvetica"/>
      <w:color w:val="000000"/>
      <w:kern w:val="0"/>
      <w:sz w:val="36"/>
      <w:szCs w:val="36"/>
      <w:bdr w:val="nil"/>
    </w:rPr>
  </w:style>
  <w:style w:type="paragraph" w:customStyle="1" w:styleId="11">
    <w:name w:val="题目 1"/>
    <w:basedOn w:val="1"/>
    <w:next w:val="a"/>
    <w:rsid w:val="00456A60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  <w:jc w:val="left"/>
      <w:outlineLvl w:val="1"/>
    </w:pPr>
    <w:rPr>
      <w:rFonts w:ascii="Helvetica" w:eastAsia="ＭＳ 明朝" w:hAnsi="Helvetica" w:cs="Helvetica"/>
      <w:bCs w:val="0"/>
      <w:color w:val="000000"/>
      <w:sz w:val="24"/>
      <w:szCs w:val="24"/>
      <w:bdr w:val="nil"/>
      <w:lang w:eastAsia="en-US"/>
    </w:rPr>
  </w:style>
  <w:style w:type="character" w:customStyle="1" w:styleId="10">
    <w:name w:val="标题 1字符"/>
    <w:basedOn w:val="a0"/>
    <w:link w:val="1"/>
    <w:uiPriority w:val="9"/>
    <w:rsid w:val="00456A60"/>
    <w:rPr>
      <w:b/>
      <w:bCs/>
      <w:kern w:val="44"/>
      <w:sz w:val="44"/>
      <w:szCs w:val="44"/>
    </w:rPr>
  </w:style>
  <w:style w:type="paragraph" w:customStyle="1" w:styleId="22">
    <w:name w:val="题目 2"/>
    <w:basedOn w:val="2"/>
    <w:next w:val="a"/>
    <w:qFormat/>
    <w:rsid w:val="00456A60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  <w:jc w:val="left"/>
    </w:pPr>
    <w:rPr>
      <w:rFonts w:ascii="Helvetica" w:eastAsia="ＭＳ 明朝" w:hAnsi="Helvetica" w:cs="Helvetica"/>
      <w:bCs w:val="0"/>
      <w:color w:val="000000"/>
      <w:sz w:val="24"/>
      <w:szCs w:val="24"/>
      <w:bdr w:val="nil"/>
      <w:lang w:eastAsia="en-US"/>
    </w:rPr>
  </w:style>
  <w:style w:type="character" w:customStyle="1" w:styleId="20">
    <w:name w:val="标题 2字符"/>
    <w:basedOn w:val="a0"/>
    <w:link w:val="2"/>
    <w:uiPriority w:val="9"/>
    <w:semiHidden/>
    <w:rsid w:val="00456A60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31">
    <w:name w:val="3"/>
    <w:basedOn w:val="3"/>
    <w:next w:val="a"/>
    <w:qFormat/>
    <w:rsid w:val="00456A60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  <w:jc w:val="left"/>
      <w:outlineLvl w:val="1"/>
    </w:pPr>
    <w:rPr>
      <w:rFonts w:ascii="Helvetica" w:eastAsia="ＭＳ 明朝" w:hAnsi="Helvetica" w:cs="Helvetica"/>
      <w:bCs w:val="0"/>
      <w:color w:val="000000"/>
      <w:sz w:val="22"/>
      <w:szCs w:val="24"/>
      <w:bdr w:val="nil"/>
      <w:lang w:eastAsia="en-US"/>
    </w:rPr>
  </w:style>
  <w:style w:type="character" w:customStyle="1" w:styleId="30">
    <w:name w:val="标题 3字符"/>
    <w:basedOn w:val="a0"/>
    <w:link w:val="3"/>
    <w:uiPriority w:val="9"/>
    <w:semiHidden/>
    <w:rsid w:val="00456A60"/>
    <w:rPr>
      <w:b/>
      <w:bCs/>
      <w:sz w:val="32"/>
      <w:szCs w:val="32"/>
    </w:rPr>
  </w:style>
  <w:style w:type="paragraph" w:customStyle="1" w:styleId="23">
    <w:name w:val="2"/>
    <w:basedOn w:val="2"/>
    <w:next w:val="a"/>
    <w:qFormat/>
    <w:rsid w:val="00456A60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  <w:jc w:val="left"/>
    </w:pPr>
    <w:rPr>
      <w:rFonts w:ascii="Helvetica" w:eastAsia="ＭＳ 明朝" w:hAnsi="Helvetica" w:cs="Helvetica"/>
      <w:bCs w:val="0"/>
      <w:color w:val="000000"/>
      <w:sz w:val="24"/>
      <w:szCs w:val="24"/>
      <w:bdr w:val="nil"/>
      <w:lang w:eastAsia="en-US"/>
    </w:rPr>
  </w:style>
  <w:style w:type="paragraph" w:styleId="a3">
    <w:name w:val="List Paragraph"/>
    <w:basedOn w:val="a"/>
    <w:uiPriority w:val="34"/>
    <w:qFormat/>
    <w:rsid w:val="00586C58"/>
    <w:pPr>
      <w:ind w:firstLineChars="200" w:firstLine="420"/>
    </w:pPr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C58"/>
    <w:pPr>
      <w:widowControl w:val="0"/>
      <w:jc w:val="both"/>
    </w:pPr>
    <w:rPr>
      <w:rFonts w:ascii="Times New Roman" w:eastAsia="宋体" w:hAnsi="Times New Roman" w:cs="Times New Roman"/>
      <w:sz w:val="21"/>
      <w:szCs w:val="20"/>
    </w:rPr>
  </w:style>
  <w:style w:type="paragraph" w:styleId="1">
    <w:name w:val="heading 1"/>
    <w:basedOn w:val="a"/>
    <w:next w:val="a"/>
    <w:link w:val="10"/>
    <w:uiPriority w:val="9"/>
    <w:qFormat/>
    <w:rsid w:val="00456A60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6A6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6A60"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题目2"/>
    <w:basedOn w:val="a"/>
    <w:next w:val="a"/>
    <w:rsid w:val="00456A60"/>
    <w:pPr>
      <w:keepNext/>
      <w:widowControl/>
      <w:pBdr>
        <w:top w:val="nil"/>
        <w:left w:val="nil"/>
        <w:bottom w:val="nil"/>
        <w:right w:val="nil"/>
        <w:between w:val="nil"/>
        <w:bar w:val="nil"/>
      </w:pBdr>
      <w:jc w:val="left"/>
      <w:outlineLvl w:val="0"/>
    </w:pPr>
    <w:rPr>
      <w:rFonts w:ascii="Helvetica" w:eastAsia="Helvetica" w:hAnsi="Helvetica" w:cs="Helvetica"/>
      <w:color w:val="000000"/>
      <w:kern w:val="0"/>
      <w:sz w:val="36"/>
      <w:szCs w:val="36"/>
      <w:bdr w:val="nil"/>
    </w:rPr>
  </w:style>
  <w:style w:type="paragraph" w:customStyle="1" w:styleId="11">
    <w:name w:val="题目 1"/>
    <w:basedOn w:val="1"/>
    <w:next w:val="a"/>
    <w:rsid w:val="00456A60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  <w:jc w:val="left"/>
      <w:outlineLvl w:val="1"/>
    </w:pPr>
    <w:rPr>
      <w:rFonts w:ascii="Helvetica" w:eastAsia="ＭＳ 明朝" w:hAnsi="Helvetica" w:cs="Helvetica"/>
      <w:bCs w:val="0"/>
      <w:color w:val="000000"/>
      <w:sz w:val="24"/>
      <w:szCs w:val="24"/>
      <w:bdr w:val="nil"/>
      <w:lang w:eastAsia="en-US"/>
    </w:rPr>
  </w:style>
  <w:style w:type="character" w:customStyle="1" w:styleId="10">
    <w:name w:val="标题 1字符"/>
    <w:basedOn w:val="a0"/>
    <w:link w:val="1"/>
    <w:uiPriority w:val="9"/>
    <w:rsid w:val="00456A60"/>
    <w:rPr>
      <w:b/>
      <w:bCs/>
      <w:kern w:val="44"/>
      <w:sz w:val="44"/>
      <w:szCs w:val="44"/>
    </w:rPr>
  </w:style>
  <w:style w:type="paragraph" w:customStyle="1" w:styleId="22">
    <w:name w:val="题目 2"/>
    <w:basedOn w:val="2"/>
    <w:next w:val="a"/>
    <w:qFormat/>
    <w:rsid w:val="00456A60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  <w:jc w:val="left"/>
    </w:pPr>
    <w:rPr>
      <w:rFonts w:ascii="Helvetica" w:eastAsia="ＭＳ 明朝" w:hAnsi="Helvetica" w:cs="Helvetica"/>
      <w:bCs w:val="0"/>
      <w:color w:val="000000"/>
      <w:sz w:val="24"/>
      <w:szCs w:val="24"/>
      <w:bdr w:val="nil"/>
      <w:lang w:eastAsia="en-US"/>
    </w:rPr>
  </w:style>
  <w:style w:type="character" w:customStyle="1" w:styleId="20">
    <w:name w:val="标题 2字符"/>
    <w:basedOn w:val="a0"/>
    <w:link w:val="2"/>
    <w:uiPriority w:val="9"/>
    <w:semiHidden/>
    <w:rsid w:val="00456A60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31">
    <w:name w:val="3"/>
    <w:basedOn w:val="3"/>
    <w:next w:val="a"/>
    <w:qFormat/>
    <w:rsid w:val="00456A60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  <w:jc w:val="left"/>
      <w:outlineLvl w:val="1"/>
    </w:pPr>
    <w:rPr>
      <w:rFonts w:ascii="Helvetica" w:eastAsia="ＭＳ 明朝" w:hAnsi="Helvetica" w:cs="Helvetica"/>
      <w:bCs w:val="0"/>
      <w:color w:val="000000"/>
      <w:sz w:val="22"/>
      <w:szCs w:val="24"/>
      <w:bdr w:val="nil"/>
      <w:lang w:eastAsia="en-US"/>
    </w:rPr>
  </w:style>
  <w:style w:type="character" w:customStyle="1" w:styleId="30">
    <w:name w:val="标题 3字符"/>
    <w:basedOn w:val="a0"/>
    <w:link w:val="3"/>
    <w:uiPriority w:val="9"/>
    <w:semiHidden/>
    <w:rsid w:val="00456A60"/>
    <w:rPr>
      <w:b/>
      <w:bCs/>
      <w:sz w:val="32"/>
      <w:szCs w:val="32"/>
    </w:rPr>
  </w:style>
  <w:style w:type="paragraph" w:customStyle="1" w:styleId="23">
    <w:name w:val="2"/>
    <w:basedOn w:val="2"/>
    <w:next w:val="a"/>
    <w:qFormat/>
    <w:rsid w:val="00456A60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  <w:jc w:val="left"/>
    </w:pPr>
    <w:rPr>
      <w:rFonts w:ascii="Helvetica" w:eastAsia="ＭＳ 明朝" w:hAnsi="Helvetica" w:cs="Helvetica"/>
      <w:bCs w:val="0"/>
      <w:color w:val="000000"/>
      <w:sz w:val="24"/>
      <w:szCs w:val="24"/>
      <w:bdr w:val="nil"/>
      <w:lang w:eastAsia="en-US"/>
    </w:rPr>
  </w:style>
  <w:style w:type="paragraph" w:styleId="a3">
    <w:name w:val="List Paragraph"/>
    <w:basedOn w:val="a"/>
    <w:uiPriority w:val="34"/>
    <w:qFormat/>
    <w:rsid w:val="00586C58"/>
    <w:pPr>
      <w:ind w:firstLineChars="200" w:firstLine="420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130</Words>
  <Characters>747</Characters>
  <Application>Microsoft Macintosh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小舟 消</dc:creator>
  <cp:keywords/>
  <dc:description/>
  <cp:lastModifiedBy>小舟 消</cp:lastModifiedBy>
  <cp:revision>1</cp:revision>
  <dcterms:created xsi:type="dcterms:W3CDTF">2018-07-12T03:13:00Z</dcterms:created>
  <dcterms:modified xsi:type="dcterms:W3CDTF">2018-07-12T03:14:00Z</dcterms:modified>
</cp:coreProperties>
</file>