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77" w:rsidRDefault="00600D77" w:rsidP="00600D77">
      <w:pPr>
        <w:rPr>
          <w:rFonts w:ascii="黑体" w:eastAsia="黑体" w:hAnsi="黑体" w:cs="黑体"/>
          <w:sz w:val="32"/>
          <w:szCs w:val="32"/>
        </w:rPr>
      </w:pPr>
      <w:r>
        <w:rPr>
          <w:rFonts w:ascii="黑体" w:eastAsia="黑体" w:hAnsi="黑体" w:cs="黑体" w:hint="eastAsia"/>
          <w:sz w:val="32"/>
          <w:szCs w:val="32"/>
        </w:rPr>
        <w:t>附件2</w:t>
      </w:r>
    </w:p>
    <w:p w:rsidR="00600D77" w:rsidRDefault="00600D77" w:rsidP="00600D77">
      <w:pPr>
        <w:spacing w:line="500" w:lineRule="exact"/>
        <w:jc w:val="center"/>
        <w:rPr>
          <w:rFonts w:ascii="黑体" w:eastAsia="黑体" w:hAnsi="黑体"/>
          <w:sz w:val="38"/>
          <w:szCs w:val="38"/>
        </w:rPr>
      </w:pPr>
    </w:p>
    <w:p w:rsidR="00600D77" w:rsidRDefault="00600D77" w:rsidP="00600D77">
      <w:pPr>
        <w:spacing w:line="500" w:lineRule="exact"/>
        <w:jc w:val="center"/>
        <w:rPr>
          <w:rFonts w:ascii="方正小标宋简体" w:eastAsia="方正小标宋简体" w:hAnsi="方正小标宋简体" w:cs="方正小标宋简体"/>
          <w:bCs/>
          <w:sz w:val="40"/>
          <w:szCs w:val="40"/>
        </w:rPr>
      </w:pPr>
      <w:bookmarkStart w:id="0" w:name="_GoBack"/>
      <w:r>
        <w:rPr>
          <w:rFonts w:ascii="方正小标宋简体" w:eastAsia="方正小标宋简体" w:hAnsi="方正小标宋简体" w:cs="方正小标宋简体" w:hint="eastAsia"/>
          <w:bCs/>
          <w:sz w:val="40"/>
          <w:szCs w:val="40"/>
        </w:rPr>
        <w:t>上海高校智库内涵建设计划实施方案</w:t>
      </w:r>
    </w:p>
    <w:bookmarkEnd w:id="0"/>
    <w:p w:rsidR="00600D77" w:rsidRDefault="00600D77" w:rsidP="00600D77">
      <w:pPr>
        <w:spacing w:line="50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（2018年）</w:t>
      </w:r>
    </w:p>
    <w:p w:rsidR="00600D77" w:rsidRDefault="00600D77" w:rsidP="00600D77">
      <w:pPr>
        <w:spacing w:line="500" w:lineRule="exact"/>
        <w:rPr>
          <w:rFonts w:ascii="黑体" w:eastAsia="仿宋_GB2312" w:hAnsi="黑体"/>
          <w:sz w:val="38"/>
          <w:szCs w:val="38"/>
        </w:rPr>
      </w:pPr>
    </w:p>
    <w:p w:rsidR="00600D77" w:rsidRDefault="00600D77" w:rsidP="00600D77">
      <w:pPr>
        <w:spacing w:line="500" w:lineRule="exact"/>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为了贯彻落实中央《关于加强中国特色新型智库建设的意见》和教育部《中国特色新型高校智库建设推进计划》《关于实施高等学校创新能力提升计划的意见》的相关精神，推动上海新型高校智库的建设与发展，进一步提升高校智库的内涵能力建设，提升核心竞争力，打造上海新型高校智库品牌，市教卫工作党委、市教委决定实施上海高校智库的内涵建设计划。</w:t>
      </w:r>
    </w:p>
    <w:p w:rsidR="00600D77" w:rsidRDefault="00600D77" w:rsidP="00600D77">
      <w:pPr>
        <w:spacing w:line="500" w:lineRule="exact"/>
        <w:ind w:right="-62" w:firstLineChars="200" w:firstLine="649"/>
        <w:jc w:val="left"/>
        <w:rPr>
          <w:rFonts w:ascii="黑体" w:eastAsia="黑体" w:hAnsi="仿宋"/>
          <w:b/>
          <w:sz w:val="30"/>
          <w:szCs w:val="30"/>
        </w:rPr>
      </w:pPr>
      <w:r>
        <w:rPr>
          <w:rFonts w:ascii="黑体" w:eastAsia="黑体" w:hAnsi="仿宋" w:cs="仿宋_GB2312" w:hint="eastAsia"/>
          <w:b/>
          <w:sz w:val="30"/>
          <w:szCs w:val="30"/>
        </w:rPr>
        <w:t>一、指导思想</w:t>
      </w:r>
    </w:p>
    <w:p w:rsidR="00600D77" w:rsidRDefault="00600D77" w:rsidP="00600D77">
      <w:pPr>
        <w:spacing w:line="500" w:lineRule="exact"/>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坚持以习近平新时代中国特色社会主义思想为指导，以重大理论和现实问题为主攻方向，坚持理论研究与应用研究并重，聚焦党的十九大对经济建设、政治建设、文化建设、社会建设、生态文明建设等作出的新部署，对党的建设提出的新要求，以及国际关系的重大问题，进行高层次的应用对策研究和战略咨询，增强高校智库在国家和上海发展中的贡献度。</w:t>
      </w:r>
    </w:p>
    <w:p w:rsidR="00600D77" w:rsidRDefault="00600D77" w:rsidP="00600D77">
      <w:pPr>
        <w:spacing w:line="500" w:lineRule="exact"/>
        <w:ind w:right="-62" w:firstLineChars="200" w:firstLine="649"/>
        <w:jc w:val="left"/>
        <w:rPr>
          <w:rFonts w:ascii="黑体" w:eastAsia="黑体" w:hAnsi="仿宋" w:cs="仿宋_GB2312"/>
          <w:b/>
          <w:sz w:val="30"/>
          <w:szCs w:val="30"/>
        </w:rPr>
      </w:pPr>
      <w:r>
        <w:rPr>
          <w:rFonts w:ascii="黑体" w:eastAsia="黑体" w:hAnsi="仿宋" w:cs="仿宋_GB2312" w:hint="eastAsia"/>
          <w:b/>
          <w:sz w:val="30"/>
          <w:szCs w:val="30"/>
        </w:rPr>
        <w:t>二、建设原则</w:t>
      </w:r>
    </w:p>
    <w:p w:rsidR="00600D77" w:rsidRDefault="00600D77" w:rsidP="00600D77">
      <w:pPr>
        <w:spacing w:line="500" w:lineRule="exact"/>
        <w:ind w:right="-62" w:firstLineChars="200" w:firstLine="600"/>
        <w:jc w:val="left"/>
        <w:rPr>
          <w:rFonts w:ascii="仿宋" w:eastAsia="仿宋_GB2312" w:hAnsi="仿宋"/>
          <w:sz w:val="30"/>
          <w:szCs w:val="30"/>
        </w:rPr>
      </w:pPr>
      <w:r>
        <w:rPr>
          <w:rFonts w:ascii="仿宋" w:eastAsia="仿宋_GB2312" w:hAnsi="仿宋" w:cs="仿宋"/>
          <w:sz w:val="30"/>
          <w:szCs w:val="30"/>
        </w:rPr>
        <w:t>1</w:t>
      </w:r>
      <w:r>
        <w:rPr>
          <w:rFonts w:ascii="仿宋" w:eastAsia="仿宋_GB2312" w:hAnsi="仿宋" w:cs="仿宋_GB2312" w:hint="eastAsia"/>
          <w:sz w:val="30"/>
          <w:szCs w:val="30"/>
        </w:rPr>
        <w:t>.</w:t>
      </w:r>
      <w:r>
        <w:rPr>
          <w:rFonts w:ascii="仿宋" w:eastAsia="仿宋_GB2312" w:hAnsi="仿宋" w:cs="仿宋_GB2312" w:hint="eastAsia"/>
          <w:sz w:val="30"/>
          <w:szCs w:val="30"/>
        </w:rPr>
        <w:t>坚持党的领导，把握正确导向。坚持党管高校智库，坚持中国特色社会主义方向，遵守国家宪法法律法规，始终以国家利益为根本出发点。</w:t>
      </w:r>
    </w:p>
    <w:p w:rsidR="00600D77" w:rsidRDefault="00600D77" w:rsidP="00600D77">
      <w:pPr>
        <w:spacing w:line="500" w:lineRule="exact"/>
        <w:ind w:right="-62" w:firstLineChars="200" w:firstLine="600"/>
        <w:jc w:val="left"/>
        <w:rPr>
          <w:rFonts w:ascii="仿宋" w:eastAsia="仿宋_GB2312" w:hAnsi="仿宋"/>
          <w:color w:val="000000"/>
          <w:sz w:val="30"/>
          <w:szCs w:val="30"/>
        </w:rPr>
      </w:pPr>
      <w:r>
        <w:rPr>
          <w:rFonts w:ascii="仿宋" w:eastAsia="仿宋_GB2312" w:hAnsi="仿宋" w:cs="仿宋"/>
          <w:color w:val="000000"/>
          <w:sz w:val="30"/>
          <w:szCs w:val="30"/>
        </w:rPr>
        <w:t>2</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坚持围绕大局，服务中心工作。紧紧围绕党和政府决策急需的重大课题，开展前瞻性、针对性、储备性政策研究，提出专业化、建设性、切实管用的政策建议，着力提高综合研判和战略谋划能力。</w:t>
      </w:r>
    </w:p>
    <w:p w:rsidR="00600D77" w:rsidRDefault="00600D77" w:rsidP="00600D77">
      <w:pPr>
        <w:spacing w:line="500" w:lineRule="exact"/>
        <w:ind w:right="-62" w:firstLineChars="200" w:firstLine="600"/>
        <w:jc w:val="left"/>
        <w:rPr>
          <w:rFonts w:ascii="仿宋" w:eastAsia="仿宋_GB2312" w:hAnsi="仿宋" w:cs="仿宋_GB2312"/>
          <w:color w:val="000000"/>
          <w:sz w:val="30"/>
          <w:szCs w:val="30"/>
        </w:rPr>
      </w:pPr>
      <w:r>
        <w:rPr>
          <w:rFonts w:ascii="仿宋" w:eastAsia="仿宋_GB2312" w:hAnsi="仿宋" w:cs="仿宋"/>
          <w:color w:val="000000"/>
          <w:sz w:val="30"/>
          <w:szCs w:val="30"/>
        </w:rPr>
        <w:t>3</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坚持改革创新，加强规范管理。科学界定各项目的功能定</w:t>
      </w:r>
      <w:r>
        <w:rPr>
          <w:rFonts w:ascii="仿宋" w:eastAsia="仿宋_GB2312" w:hAnsi="仿宋" w:cs="仿宋_GB2312" w:hint="eastAsia"/>
          <w:color w:val="000000"/>
          <w:sz w:val="30"/>
          <w:szCs w:val="30"/>
        </w:rPr>
        <w:lastRenderedPageBreak/>
        <w:t>位，进一步调整优化智库布局，促进各类智库有序发展，不断完善高校智库研究资金管理制度。</w:t>
      </w:r>
    </w:p>
    <w:p w:rsidR="00600D77" w:rsidRDefault="00600D77" w:rsidP="00600D77">
      <w:pPr>
        <w:spacing w:line="500" w:lineRule="exact"/>
        <w:ind w:right="-62" w:firstLineChars="200" w:firstLine="649"/>
        <w:jc w:val="left"/>
        <w:rPr>
          <w:rFonts w:ascii="黑体" w:eastAsia="黑体" w:hAnsi="仿宋" w:cs="仿宋_GB2312"/>
          <w:b/>
          <w:sz w:val="30"/>
          <w:szCs w:val="30"/>
        </w:rPr>
      </w:pPr>
      <w:r>
        <w:rPr>
          <w:rFonts w:ascii="黑体" w:eastAsia="黑体" w:hAnsi="仿宋" w:cs="仿宋_GB2312" w:hint="eastAsia"/>
          <w:b/>
          <w:sz w:val="30"/>
          <w:szCs w:val="30"/>
        </w:rPr>
        <w:t>三、建设目标</w:t>
      </w:r>
    </w:p>
    <w:p w:rsidR="00600D77" w:rsidRDefault="00600D77" w:rsidP="00600D77">
      <w:pPr>
        <w:spacing w:line="500" w:lineRule="exact"/>
        <w:ind w:right="-62" w:firstLineChars="200" w:firstLine="600"/>
        <w:jc w:val="left"/>
        <w:rPr>
          <w:rFonts w:ascii="仿宋" w:eastAsia="仿宋_GB2312" w:hAnsi="仿宋"/>
          <w:color w:val="000000"/>
          <w:sz w:val="30"/>
          <w:szCs w:val="30"/>
        </w:rPr>
      </w:pPr>
      <w:r>
        <w:rPr>
          <w:rFonts w:ascii="仿宋" w:eastAsia="仿宋_GB2312" w:hAnsi="仿宋" w:cs="仿宋_GB2312" w:hint="eastAsia"/>
          <w:color w:val="000000"/>
          <w:sz w:val="30"/>
          <w:szCs w:val="30"/>
        </w:rPr>
        <w:t>通过上海高校智库内涵建设计划，打造一批立足上海、服务全国、具有国际影响力的新型高校智库，使上海高校智库成为开展决策咨询的重要机构、探索高校科研改革的重要组成部分、培养决策咨询人才以及引领公共舆论和支撑公共外交的重要基地。</w:t>
      </w:r>
    </w:p>
    <w:p w:rsidR="00600D77" w:rsidRDefault="00600D77" w:rsidP="00600D77">
      <w:pPr>
        <w:spacing w:line="500" w:lineRule="exact"/>
        <w:ind w:right="-62" w:firstLineChars="200" w:firstLine="649"/>
        <w:jc w:val="left"/>
        <w:rPr>
          <w:rFonts w:ascii="黑体" w:eastAsia="黑体" w:hAnsi="仿宋" w:cs="仿宋_GB2312"/>
          <w:b/>
          <w:sz w:val="30"/>
          <w:szCs w:val="30"/>
        </w:rPr>
      </w:pPr>
      <w:r>
        <w:rPr>
          <w:rFonts w:ascii="黑体" w:eastAsia="黑体" w:hAnsi="仿宋" w:cs="仿宋_GB2312" w:hint="eastAsia"/>
          <w:b/>
          <w:sz w:val="30"/>
          <w:szCs w:val="30"/>
        </w:rPr>
        <w:t>四、内涵建设计划任务</w:t>
      </w:r>
    </w:p>
    <w:p w:rsidR="00600D77" w:rsidRDefault="00600D77" w:rsidP="00600D77">
      <w:pPr>
        <w:spacing w:line="500" w:lineRule="exact"/>
        <w:ind w:right="-62" w:firstLineChars="200" w:firstLine="650"/>
        <w:jc w:val="left"/>
        <w:rPr>
          <w:rFonts w:ascii="黑体" w:eastAsia="仿宋_GB2312" w:hAnsi="黑体" w:cs="仿宋_GB2312"/>
          <w:b/>
          <w:sz w:val="30"/>
          <w:szCs w:val="30"/>
        </w:rPr>
      </w:pPr>
      <w:r>
        <w:rPr>
          <w:rFonts w:ascii="黑体" w:eastAsia="仿宋_GB2312" w:hAnsi="黑体" w:cs="仿宋_GB2312" w:hint="eastAsia"/>
          <w:b/>
          <w:sz w:val="30"/>
          <w:szCs w:val="30"/>
        </w:rPr>
        <w:t>（一）战略研究项目</w:t>
      </w:r>
    </w:p>
    <w:p w:rsidR="00600D77" w:rsidRDefault="00600D77" w:rsidP="00600D77">
      <w:pPr>
        <w:spacing w:line="500" w:lineRule="exact"/>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鼓励高校研究团队，围绕特定领域的全局性、战略性、前瞻性问题开展研究，及时向党和政府各相关部门，以及重要行业提供强有力的决策咨询服务，进一步扩大上海高校智库的决策咨询能力和影响力。</w:t>
      </w:r>
    </w:p>
    <w:p w:rsidR="00600D77" w:rsidRDefault="00600D77" w:rsidP="00600D77">
      <w:pPr>
        <w:spacing w:line="500" w:lineRule="exact"/>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项目研究团队负责人须由智库成员担任，项目组成员可以包括智库成员和非智库成员，鼓励各方人员积极参与决策咨询研究。研究项目要明确研究特点、报送对象等。成果应包括决策咨询专报和研究报告等。每个项目组提交</w:t>
      </w:r>
      <w:r>
        <w:rPr>
          <w:rFonts w:ascii="黑体" w:eastAsia="仿宋_GB2312" w:hAnsi="黑体" w:cs="仿宋_GB2312" w:hint="eastAsia"/>
          <w:b/>
          <w:color w:val="000000"/>
          <w:sz w:val="30"/>
          <w:szCs w:val="30"/>
        </w:rPr>
        <w:t>5</w:t>
      </w:r>
      <w:r>
        <w:rPr>
          <w:rFonts w:ascii="黑体" w:eastAsia="仿宋_GB2312" w:hAnsi="黑体" w:cs="仿宋_GB2312" w:hint="eastAsia"/>
          <w:b/>
          <w:color w:val="000000"/>
          <w:sz w:val="30"/>
          <w:szCs w:val="30"/>
        </w:rPr>
        <w:t>份以上</w:t>
      </w:r>
      <w:r>
        <w:rPr>
          <w:rFonts w:ascii="黑体" w:eastAsia="仿宋_GB2312" w:hAnsi="黑体" w:cs="仿宋_GB2312" w:hint="eastAsia"/>
          <w:color w:val="000000"/>
          <w:sz w:val="30"/>
          <w:szCs w:val="30"/>
        </w:rPr>
        <w:t>决策咨询专报，同时积极承接与项目相关的约稿任务。研究报告如需公开出版，需征得市教卫工作党委、市教委同意。</w:t>
      </w:r>
    </w:p>
    <w:p w:rsidR="00600D77" w:rsidRDefault="00600D77" w:rsidP="00600D77">
      <w:pPr>
        <w:spacing w:line="500" w:lineRule="exact"/>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每家机构限制报</w:t>
      </w:r>
      <w:r>
        <w:rPr>
          <w:rFonts w:ascii="黑体" w:eastAsia="仿宋_GB2312" w:hAnsi="黑体" w:cs="仿宋_GB2312" w:hint="eastAsia"/>
          <w:color w:val="000000"/>
          <w:sz w:val="30"/>
          <w:szCs w:val="30"/>
        </w:rPr>
        <w:t>2</w:t>
      </w:r>
      <w:r>
        <w:rPr>
          <w:rFonts w:ascii="黑体" w:eastAsia="仿宋_GB2312" w:hAnsi="黑体" w:cs="仿宋_GB2312" w:hint="eastAsia"/>
          <w:color w:val="000000"/>
          <w:sz w:val="30"/>
          <w:szCs w:val="30"/>
        </w:rPr>
        <w:t>项战略研究项目，单个战略研究项目的建设经费不超过</w:t>
      </w:r>
      <w:r>
        <w:rPr>
          <w:rFonts w:ascii="黑体" w:eastAsia="仿宋_GB2312" w:hAnsi="黑体" w:cs="仿宋_GB2312" w:hint="eastAsia"/>
          <w:color w:val="000000"/>
          <w:sz w:val="30"/>
          <w:szCs w:val="30"/>
        </w:rPr>
        <w:t>15</w:t>
      </w:r>
      <w:r>
        <w:rPr>
          <w:rFonts w:ascii="黑体" w:eastAsia="仿宋_GB2312" w:hAnsi="黑体" w:cs="仿宋_GB2312" w:hint="eastAsia"/>
          <w:color w:val="000000"/>
          <w:sz w:val="30"/>
          <w:szCs w:val="30"/>
        </w:rPr>
        <w:t>万元</w:t>
      </w:r>
      <w:r>
        <w:rPr>
          <w:rFonts w:ascii="黑体" w:eastAsia="仿宋_GB2312" w:hAnsi="黑体" w:cs="仿宋_GB2312" w:hint="eastAsia"/>
          <w:color w:val="000000"/>
          <w:sz w:val="30"/>
          <w:szCs w:val="30"/>
        </w:rPr>
        <w:t>/</w:t>
      </w:r>
      <w:r>
        <w:rPr>
          <w:rFonts w:ascii="黑体" w:eastAsia="仿宋_GB2312" w:hAnsi="黑体" w:cs="仿宋_GB2312" w:hint="eastAsia"/>
          <w:color w:val="000000"/>
          <w:sz w:val="30"/>
          <w:szCs w:val="30"/>
        </w:rPr>
        <w:t>年</w:t>
      </w:r>
      <w:r>
        <w:rPr>
          <w:rFonts w:ascii="仿宋_GB2312" w:eastAsia="仿宋_GB2312" w:hint="eastAsia"/>
          <w:color w:val="000000"/>
          <w:sz w:val="30"/>
          <w:szCs w:val="30"/>
        </w:rPr>
        <w:t>（具体以财评审定金额为准）</w:t>
      </w:r>
      <w:r>
        <w:rPr>
          <w:rFonts w:ascii="黑体" w:eastAsia="仿宋_GB2312" w:hAnsi="黑体" w:cs="仿宋_GB2312" w:hint="eastAsia"/>
          <w:color w:val="000000"/>
          <w:sz w:val="30"/>
          <w:szCs w:val="30"/>
        </w:rPr>
        <w:t>。已有其他资金立项资助的项目不得重复申报。</w:t>
      </w:r>
    </w:p>
    <w:p w:rsidR="00600D77" w:rsidRDefault="00600D77" w:rsidP="00600D77">
      <w:pPr>
        <w:spacing w:line="500" w:lineRule="exact"/>
        <w:ind w:right="-62" w:firstLineChars="200" w:firstLine="650"/>
        <w:jc w:val="left"/>
        <w:rPr>
          <w:rFonts w:ascii="仿宋" w:eastAsia="仿宋_GB2312" w:hAnsi="仿宋" w:cs="仿宋_GB2312"/>
          <w:b/>
          <w:color w:val="000000"/>
          <w:sz w:val="30"/>
          <w:szCs w:val="30"/>
        </w:rPr>
      </w:pPr>
      <w:r>
        <w:rPr>
          <w:rFonts w:ascii="黑体" w:eastAsia="仿宋_GB2312" w:hAnsi="黑体" w:cs="仿宋_GB2312" w:hint="eastAsia"/>
          <w:b/>
          <w:sz w:val="30"/>
          <w:szCs w:val="30"/>
        </w:rPr>
        <w:t>（二）</w:t>
      </w:r>
      <w:r>
        <w:rPr>
          <w:rFonts w:ascii="仿宋" w:eastAsia="仿宋_GB2312" w:hAnsi="仿宋" w:cs="仿宋_GB2312" w:hint="eastAsia"/>
          <w:b/>
          <w:color w:val="000000"/>
          <w:sz w:val="30"/>
          <w:szCs w:val="30"/>
        </w:rPr>
        <w:t>系列学术论坛</w:t>
      </w:r>
    </w:p>
    <w:p w:rsidR="00600D77" w:rsidRDefault="00600D77" w:rsidP="00600D77">
      <w:pPr>
        <w:spacing w:line="500" w:lineRule="exact"/>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鼓励高校智库结合自身研究领域和专长，聚焦国家和上海面临的重大问题，精心策划和举办系列学术论坛，产生解决问题的新思想、新思路和新方案。由上海高校智库管理中心围绕重大选题和重要时间节点举办大型论坛时，各机构应积极参与或者轮流承办。“系列学术论坛”在项目周期内需举办</w:t>
      </w:r>
      <w:r>
        <w:rPr>
          <w:rFonts w:ascii="仿宋" w:eastAsia="仿宋_GB2312" w:hAnsi="仿宋" w:cs="仿宋_GB2312" w:hint="eastAsia"/>
          <w:b/>
          <w:color w:val="000000"/>
          <w:sz w:val="30"/>
          <w:szCs w:val="30"/>
        </w:rPr>
        <w:t>3</w:t>
      </w:r>
      <w:r>
        <w:rPr>
          <w:rFonts w:ascii="仿宋" w:eastAsia="仿宋_GB2312" w:hAnsi="仿宋" w:cs="仿宋_GB2312" w:hint="eastAsia"/>
          <w:b/>
          <w:color w:val="000000"/>
          <w:sz w:val="30"/>
          <w:szCs w:val="30"/>
        </w:rPr>
        <w:t>次左右</w:t>
      </w:r>
      <w:r>
        <w:rPr>
          <w:rFonts w:ascii="仿宋" w:eastAsia="仿宋_GB2312" w:hAnsi="仿宋" w:cs="仿宋_GB2312" w:hint="eastAsia"/>
          <w:color w:val="000000"/>
          <w:sz w:val="30"/>
          <w:szCs w:val="30"/>
        </w:rPr>
        <w:t>，邀请领域内知名专家参与讨论，并形成综合性研判成果，</w:t>
      </w:r>
      <w:r>
        <w:rPr>
          <w:rFonts w:ascii="黑体" w:eastAsia="仿宋_GB2312" w:hAnsi="黑体" w:cs="仿宋_GB2312" w:hint="eastAsia"/>
          <w:color w:val="000000"/>
          <w:sz w:val="30"/>
          <w:szCs w:val="30"/>
        </w:rPr>
        <w:t>提交</w:t>
      </w:r>
      <w:r>
        <w:rPr>
          <w:rFonts w:ascii="黑体" w:eastAsia="仿宋_GB2312" w:hAnsi="黑体" w:cs="仿宋_GB2312" w:hint="eastAsia"/>
          <w:b/>
          <w:color w:val="000000"/>
          <w:sz w:val="30"/>
          <w:szCs w:val="30"/>
        </w:rPr>
        <w:t>3</w:t>
      </w:r>
      <w:r>
        <w:rPr>
          <w:rFonts w:ascii="黑体" w:eastAsia="仿宋_GB2312" w:hAnsi="黑体" w:cs="仿宋_GB2312" w:hint="eastAsia"/>
          <w:b/>
          <w:color w:val="000000"/>
          <w:sz w:val="30"/>
          <w:szCs w:val="30"/>
        </w:rPr>
        <w:t>份以上</w:t>
      </w:r>
      <w:r>
        <w:rPr>
          <w:rFonts w:ascii="黑体" w:eastAsia="仿宋_GB2312" w:hAnsi="黑体" w:cs="仿宋_GB2312" w:hint="eastAsia"/>
          <w:color w:val="000000"/>
          <w:sz w:val="30"/>
          <w:szCs w:val="30"/>
        </w:rPr>
        <w:t>决策咨询专报</w:t>
      </w:r>
      <w:r>
        <w:rPr>
          <w:rFonts w:ascii="仿宋" w:eastAsia="仿宋_GB2312" w:hAnsi="仿宋" w:cs="仿宋_GB2312" w:hint="eastAsia"/>
          <w:color w:val="000000"/>
          <w:sz w:val="30"/>
          <w:szCs w:val="30"/>
        </w:rPr>
        <w:t>。</w:t>
      </w:r>
    </w:p>
    <w:p w:rsidR="00600D77" w:rsidRDefault="00600D77" w:rsidP="00600D77">
      <w:pPr>
        <w:spacing w:line="500" w:lineRule="exact"/>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申报系列论坛需有前期基础，至少举办过</w:t>
      </w:r>
      <w:r>
        <w:rPr>
          <w:rFonts w:ascii="仿宋" w:eastAsia="仿宋_GB2312" w:hAnsi="仿宋" w:cs="仿宋_GB2312" w:hint="eastAsia"/>
          <w:color w:val="000000"/>
          <w:sz w:val="30"/>
          <w:szCs w:val="30"/>
        </w:rPr>
        <w:t>1</w:t>
      </w:r>
      <w:r>
        <w:rPr>
          <w:rFonts w:ascii="仿宋" w:eastAsia="仿宋_GB2312" w:hAnsi="仿宋" w:cs="仿宋_GB2312" w:hint="eastAsia"/>
          <w:color w:val="000000"/>
          <w:sz w:val="30"/>
          <w:szCs w:val="30"/>
        </w:rPr>
        <w:t>次类似论坛。每家机构限申报</w:t>
      </w:r>
      <w:r>
        <w:rPr>
          <w:rFonts w:ascii="仿宋" w:eastAsia="仿宋_GB2312" w:hAnsi="仿宋" w:cs="仿宋_GB2312" w:hint="eastAsia"/>
          <w:b/>
          <w:bCs/>
          <w:color w:val="000000"/>
          <w:sz w:val="30"/>
          <w:szCs w:val="30"/>
        </w:rPr>
        <w:t>2</w:t>
      </w:r>
      <w:r>
        <w:rPr>
          <w:rFonts w:ascii="仿宋" w:eastAsia="仿宋_GB2312" w:hAnsi="仿宋" w:cs="仿宋_GB2312" w:hint="eastAsia"/>
          <w:color w:val="000000"/>
          <w:sz w:val="30"/>
          <w:szCs w:val="30"/>
        </w:rPr>
        <w:t>项，每项资助金额不超过</w:t>
      </w:r>
      <w:r>
        <w:rPr>
          <w:rFonts w:ascii="仿宋" w:eastAsia="仿宋_GB2312" w:hAnsi="仿宋" w:cs="仿宋_GB2312"/>
          <w:color w:val="000000"/>
          <w:sz w:val="30"/>
          <w:szCs w:val="30"/>
        </w:rPr>
        <w:t>20</w:t>
      </w:r>
      <w:r>
        <w:rPr>
          <w:rFonts w:ascii="仿宋" w:eastAsia="仿宋_GB2312" w:hAnsi="仿宋" w:cs="仿宋_GB2312" w:hint="eastAsia"/>
          <w:color w:val="000000"/>
          <w:sz w:val="30"/>
          <w:szCs w:val="30"/>
        </w:rPr>
        <w:t>万元</w:t>
      </w:r>
      <w:r>
        <w:rPr>
          <w:rFonts w:ascii="仿宋_GB2312" w:eastAsia="仿宋_GB2312" w:hint="eastAsia"/>
          <w:color w:val="000000"/>
          <w:sz w:val="30"/>
          <w:szCs w:val="30"/>
        </w:rPr>
        <w:t>（具体以财评审定金额为准）</w:t>
      </w:r>
      <w:r>
        <w:rPr>
          <w:rFonts w:ascii="仿宋" w:eastAsia="仿宋_GB2312" w:hAnsi="仿宋" w:cs="仿宋_GB2312" w:hint="eastAsia"/>
          <w:color w:val="000000"/>
          <w:sz w:val="30"/>
          <w:szCs w:val="30"/>
        </w:rPr>
        <w:t>。</w:t>
      </w:r>
    </w:p>
    <w:p w:rsidR="00600D77" w:rsidRDefault="00600D77" w:rsidP="00600D77">
      <w:pPr>
        <w:spacing w:line="500" w:lineRule="exact"/>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以上受资助的所有专报和活动要标明“上海高校智库”的字样，相关材料需妥善保存，在结项验收时一并提交。在成果报送上，鼓励广辟渠道，多途径报送智库成果，特别是要及时主动对接党和政府的信息主渠道部门，用好市教卫工作党委直报点等内参通道，提升服务决策时效性。同时积极扩大各类活动的社会影响；与新闻媒体进行合作，积极对各类活动的动态和观点进行报道和宣传。</w:t>
      </w:r>
    </w:p>
    <w:p w:rsidR="00600D77" w:rsidRDefault="00600D77" w:rsidP="00600D77">
      <w:pPr>
        <w:spacing w:line="500" w:lineRule="exact"/>
        <w:ind w:right="-62" w:firstLineChars="200" w:firstLine="600"/>
        <w:jc w:val="left"/>
        <w:rPr>
          <w:rFonts w:ascii="仿宋" w:eastAsia="仿宋_GB2312" w:hAnsi="仿宋"/>
          <w:color w:val="000000"/>
          <w:sz w:val="30"/>
          <w:szCs w:val="30"/>
        </w:rPr>
      </w:pPr>
      <w:r>
        <w:rPr>
          <w:rFonts w:ascii="仿宋" w:eastAsia="仿宋_GB2312" w:hAnsi="仿宋" w:cs="仿宋_GB2312" w:hint="eastAsia"/>
          <w:color w:val="000000"/>
          <w:sz w:val="30"/>
          <w:szCs w:val="30"/>
        </w:rPr>
        <w:t>所有智库项目的观点和数据公开发布应遵守相关制度规定，切实维护国家安全。</w:t>
      </w:r>
    </w:p>
    <w:p w:rsidR="008F6C22" w:rsidRDefault="00600D77" w:rsidP="00600D77">
      <w:r>
        <w:br w:type="page"/>
      </w:r>
    </w:p>
    <w:sectPr w:rsidR="008F6C22" w:rsidSect="00EC230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黑体">
    <w:panose1 w:val="02010609060101010101"/>
    <w:charset w:val="50"/>
    <w:family w:val="auto"/>
    <w:pitch w:val="variable"/>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仿宋_GB2312">
    <w:altName w:val="Arial Unicode MS"/>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77"/>
    <w:rsid w:val="00456A60"/>
    <w:rsid w:val="00600D77"/>
    <w:rsid w:val="008F6C22"/>
    <w:rsid w:val="00EC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60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77"/>
    <w:pPr>
      <w:widowControl w:val="0"/>
      <w:jc w:val="both"/>
    </w:pPr>
    <w:rPr>
      <w:rFonts w:ascii="Times New Roman" w:eastAsia="宋体" w:hAnsi="Times New Roman" w:cs="Times New Roman"/>
      <w:sz w:val="21"/>
      <w:szCs w:val="20"/>
    </w:rPr>
  </w:style>
  <w:style w:type="paragraph" w:styleId="1">
    <w:name w:val="heading 1"/>
    <w:basedOn w:val="a"/>
    <w:next w:val="a"/>
    <w:link w:val="10"/>
    <w:uiPriority w:val="9"/>
    <w:qFormat/>
    <w:rsid w:val="00456A60"/>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rsid w:val="00456A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56A6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题目2"/>
    <w:basedOn w:val="a"/>
    <w:next w:val="a"/>
    <w:rsid w:val="00456A60"/>
    <w:pPr>
      <w:keepNext/>
      <w:widowControl/>
      <w:pBdr>
        <w:top w:val="nil"/>
        <w:left w:val="nil"/>
        <w:bottom w:val="nil"/>
        <w:right w:val="nil"/>
        <w:between w:val="nil"/>
        <w:bar w:val="nil"/>
      </w:pBdr>
      <w:jc w:val="left"/>
      <w:outlineLvl w:val="0"/>
    </w:pPr>
    <w:rPr>
      <w:rFonts w:ascii="Helvetica" w:eastAsia="Helvetica" w:hAnsi="Helvetica" w:cs="Helvetica"/>
      <w:color w:val="000000"/>
      <w:kern w:val="0"/>
      <w:sz w:val="36"/>
      <w:szCs w:val="36"/>
      <w:bdr w:val="nil"/>
    </w:rPr>
  </w:style>
  <w:style w:type="paragraph" w:customStyle="1" w:styleId="11">
    <w:name w:val="题目 1"/>
    <w:basedOn w:val="1"/>
    <w:next w:val="a"/>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4"/>
      <w:szCs w:val="24"/>
      <w:bdr w:val="nil"/>
      <w:lang w:eastAsia="en-US"/>
    </w:rPr>
  </w:style>
  <w:style w:type="character" w:customStyle="1" w:styleId="10">
    <w:name w:val="标题 1字符"/>
    <w:basedOn w:val="a0"/>
    <w:link w:val="1"/>
    <w:uiPriority w:val="9"/>
    <w:rsid w:val="00456A60"/>
    <w:rPr>
      <w:b/>
      <w:bCs/>
      <w:kern w:val="44"/>
      <w:sz w:val="44"/>
      <w:szCs w:val="44"/>
    </w:rPr>
  </w:style>
  <w:style w:type="paragraph" w:customStyle="1" w:styleId="22">
    <w:name w:val="题目 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 w:type="character" w:customStyle="1" w:styleId="20">
    <w:name w:val="标题 2字符"/>
    <w:basedOn w:val="a0"/>
    <w:link w:val="2"/>
    <w:uiPriority w:val="9"/>
    <w:semiHidden/>
    <w:rsid w:val="00456A60"/>
    <w:rPr>
      <w:rFonts w:asciiTheme="majorHAnsi" w:eastAsiaTheme="majorEastAsia" w:hAnsiTheme="majorHAnsi" w:cstheme="majorBidi"/>
      <w:b/>
      <w:bCs/>
      <w:sz w:val="32"/>
      <w:szCs w:val="32"/>
    </w:rPr>
  </w:style>
  <w:style w:type="paragraph" w:customStyle="1" w:styleId="31">
    <w:name w:val="3"/>
    <w:basedOn w:val="3"/>
    <w:next w:val="a"/>
    <w:qFormat/>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2"/>
      <w:szCs w:val="24"/>
      <w:bdr w:val="nil"/>
      <w:lang w:eastAsia="en-US"/>
    </w:rPr>
  </w:style>
  <w:style w:type="character" w:customStyle="1" w:styleId="30">
    <w:name w:val="标题 3字符"/>
    <w:basedOn w:val="a0"/>
    <w:link w:val="3"/>
    <w:uiPriority w:val="9"/>
    <w:semiHidden/>
    <w:rsid w:val="00456A60"/>
    <w:rPr>
      <w:b/>
      <w:bCs/>
      <w:sz w:val="32"/>
      <w:szCs w:val="32"/>
    </w:rPr>
  </w:style>
  <w:style w:type="paragraph" w:customStyle="1" w:styleId="23">
    <w:name w:val="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77"/>
    <w:pPr>
      <w:widowControl w:val="0"/>
      <w:jc w:val="both"/>
    </w:pPr>
    <w:rPr>
      <w:rFonts w:ascii="Times New Roman" w:eastAsia="宋体" w:hAnsi="Times New Roman" w:cs="Times New Roman"/>
      <w:sz w:val="21"/>
      <w:szCs w:val="20"/>
    </w:rPr>
  </w:style>
  <w:style w:type="paragraph" w:styleId="1">
    <w:name w:val="heading 1"/>
    <w:basedOn w:val="a"/>
    <w:next w:val="a"/>
    <w:link w:val="10"/>
    <w:uiPriority w:val="9"/>
    <w:qFormat/>
    <w:rsid w:val="00456A60"/>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rsid w:val="00456A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56A6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题目2"/>
    <w:basedOn w:val="a"/>
    <w:next w:val="a"/>
    <w:rsid w:val="00456A60"/>
    <w:pPr>
      <w:keepNext/>
      <w:widowControl/>
      <w:pBdr>
        <w:top w:val="nil"/>
        <w:left w:val="nil"/>
        <w:bottom w:val="nil"/>
        <w:right w:val="nil"/>
        <w:between w:val="nil"/>
        <w:bar w:val="nil"/>
      </w:pBdr>
      <w:jc w:val="left"/>
      <w:outlineLvl w:val="0"/>
    </w:pPr>
    <w:rPr>
      <w:rFonts w:ascii="Helvetica" w:eastAsia="Helvetica" w:hAnsi="Helvetica" w:cs="Helvetica"/>
      <w:color w:val="000000"/>
      <w:kern w:val="0"/>
      <w:sz w:val="36"/>
      <w:szCs w:val="36"/>
      <w:bdr w:val="nil"/>
    </w:rPr>
  </w:style>
  <w:style w:type="paragraph" w:customStyle="1" w:styleId="11">
    <w:name w:val="题目 1"/>
    <w:basedOn w:val="1"/>
    <w:next w:val="a"/>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4"/>
      <w:szCs w:val="24"/>
      <w:bdr w:val="nil"/>
      <w:lang w:eastAsia="en-US"/>
    </w:rPr>
  </w:style>
  <w:style w:type="character" w:customStyle="1" w:styleId="10">
    <w:name w:val="标题 1字符"/>
    <w:basedOn w:val="a0"/>
    <w:link w:val="1"/>
    <w:uiPriority w:val="9"/>
    <w:rsid w:val="00456A60"/>
    <w:rPr>
      <w:b/>
      <w:bCs/>
      <w:kern w:val="44"/>
      <w:sz w:val="44"/>
      <w:szCs w:val="44"/>
    </w:rPr>
  </w:style>
  <w:style w:type="paragraph" w:customStyle="1" w:styleId="22">
    <w:name w:val="题目 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 w:type="character" w:customStyle="1" w:styleId="20">
    <w:name w:val="标题 2字符"/>
    <w:basedOn w:val="a0"/>
    <w:link w:val="2"/>
    <w:uiPriority w:val="9"/>
    <w:semiHidden/>
    <w:rsid w:val="00456A60"/>
    <w:rPr>
      <w:rFonts w:asciiTheme="majorHAnsi" w:eastAsiaTheme="majorEastAsia" w:hAnsiTheme="majorHAnsi" w:cstheme="majorBidi"/>
      <w:b/>
      <w:bCs/>
      <w:sz w:val="32"/>
      <w:szCs w:val="32"/>
    </w:rPr>
  </w:style>
  <w:style w:type="paragraph" w:customStyle="1" w:styleId="31">
    <w:name w:val="3"/>
    <w:basedOn w:val="3"/>
    <w:next w:val="a"/>
    <w:qFormat/>
    <w:rsid w:val="00456A60"/>
    <w:pPr>
      <w:pBdr>
        <w:top w:val="nil"/>
        <w:left w:val="nil"/>
        <w:bottom w:val="nil"/>
        <w:right w:val="nil"/>
        <w:between w:val="nil"/>
        <w:bar w:val="nil"/>
      </w:pBdr>
      <w:spacing w:line="240" w:lineRule="auto"/>
      <w:jc w:val="left"/>
      <w:outlineLvl w:val="1"/>
    </w:pPr>
    <w:rPr>
      <w:rFonts w:ascii="Helvetica" w:eastAsia="ＭＳ 明朝" w:hAnsi="Helvetica" w:cs="Helvetica"/>
      <w:bCs w:val="0"/>
      <w:color w:val="000000"/>
      <w:sz w:val="22"/>
      <w:szCs w:val="24"/>
      <w:bdr w:val="nil"/>
      <w:lang w:eastAsia="en-US"/>
    </w:rPr>
  </w:style>
  <w:style w:type="character" w:customStyle="1" w:styleId="30">
    <w:name w:val="标题 3字符"/>
    <w:basedOn w:val="a0"/>
    <w:link w:val="3"/>
    <w:uiPriority w:val="9"/>
    <w:semiHidden/>
    <w:rsid w:val="00456A60"/>
    <w:rPr>
      <w:b/>
      <w:bCs/>
      <w:sz w:val="32"/>
      <w:szCs w:val="32"/>
    </w:rPr>
  </w:style>
  <w:style w:type="paragraph" w:customStyle="1" w:styleId="23">
    <w:name w:val="2"/>
    <w:basedOn w:val="2"/>
    <w:next w:val="a"/>
    <w:qFormat/>
    <w:rsid w:val="00456A60"/>
    <w:pPr>
      <w:pBdr>
        <w:top w:val="nil"/>
        <w:left w:val="nil"/>
        <w:bottom w:val="nil"/>
        <w:right w:val="nil"/>
        <w:between w:val="nil"/>
        <w:bar w:val="nil"/>
      </w:pBdr>
      <w:spacing w:line="240" w:lineRule="auto"/>
      <w:jc w:val="left"/>
    </w:pPr>
    <w:rPr>
      <w:rFonts w:ascii="Helvetica" w:eastAsia="ＭＳ 明朝" w:hAnsi="Helvetica" w:cs="Helvetica"/>
      <w:bCs w:val="0"/>
      <w:color w:val="000000"/>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1277</Characters>
  <Application>Microsoft Macintosh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小舟 消</dc:creator>
  <cp:keywords/>
  <dc:description/>
  <cp:lastModifiedBy>小舟 消</cp:lastModifiedBy>
  <cp:revision>1</cp:revision>
  <dcterms:created xsi:type="dcterms:W3CDTF">2018-07-12T03:14:00Z</dcterms:created>
  <dcterms:modified xsi:type="dcterms:W3CDTF">2018-07-12T03:14:00Z</dcterms:modified>
</cp:coreProperties>
</file>