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7475" w:type="dxa"/>
        <w:jc w:val="center"/>
        <w:tblCellSpacing w:w="0" w:type="dxa"/>
        <w:tblInd w:w="416" w:type="dxa"/>
        <w:shd w:val="clear"/>
        <w:tblLayout w:type="fixed"/>
        <w:tblCellMar>
          <w:top w:w="0" w:type="dxa"/>
          <w:left w:w="0" w:type="dxa"/>
          <w:bottom w:w="0" w:type="dxa"/>
          <w:right w:w="0" w:type="dxa"/>
        </w:tblCellMar>
      </w:tblPr>
      <w:tblGrid>
        <w:gridCol w:w="7475"/>
      </w:tblGrid>
      <w:tr>
        <w:tblPrEx>
          <w:tblLayout w:type="fixed"/>
          <w:tblCellMar>
            <w:top w:w="0" w:type="dxa"/>
            <w:left w:w="0" w:type="dxa"/>
            <w:bottom w:w="0" w:type="dxa"/>
            <w:right w:w="0" w:type="dxa"/>
          </w:tblCellMar>
        </w:tblPrEx>
        <w:trPr>
          <w:trHeight w:val="301" w:hRule="atLeast"/>
          <w:tblCellSpacing w:w="0" w:type="dxa"/>
          <w:jc w:val="center"/>
        </w:trPr>
        <w:tc>
          <w:tcPr>
            <w:tcW w:w="7475" w:type="dxa"/>
            <w:shd w:val="clear"/>
            <w:vAlign w:val="center"/>
          </w:tcPr>
          <w:p>
            <w:pPr>
              <w:keepNext w:val="0"/>
              <w:keepLines w:val="0"/>
              <w:widowControl/>
              <w:suppressLineNumbers w:val="0"/>
              <w:jc w:val="center"/>
            </w:pPr>
            <w:r>
              <w:rPr>
                <w:rStyle w:val="4"/>
                <w:rFonts w:ascii="宋体" w:hAnsi="宋体" w:eastAsia="宋体" w:cs="宋体"/>
                <w:kern w:val="0"/>
                <w:sz w:val="24"/>
                <w:szCs w:val="24"/>
                <w:lang w:val="en-US" w:eastAsia="zh-CN" w:bidi="ar"/>
              </w:rPr>
              <w:t>市政府办公厅关于转发市政府发展研究中心制订的《市政府决策咨询研究课题管理办法》的通知</w:t>
            </w:r>
          </w:p>
        </w:tc>
      </w:tr>
    </w:tbl>
    <w:p>
      <w:pPr>
        <w:rPr>
          <w:vanish/>
          <w:sz w:val="24"/>
          <w:szCs w:val="24"/>
        </w:rPr>
      </w:pPr>
    </w:p>
    <w:tbl>
      <w:tblPr>
        <w:tblW w:w="7473" w:type="dxa"/>
        <w:jc w:val="center"/>
        <w:tblCellSpacing w:w="0" w:type="dxa"/>
        <w:tblInd w:w="417" w:type="dxa"/>
        <w:shd w:val="clear"/>
        <w:tblLayout w:type="fixed"/>
        <w:tblCellMar>
          <w:top w:w="50" w:type="dxa"/>
          <w:left w:w="0" w:type="dxa"/>
          <w:bottom w:w="0" w:type="dxa"/>
          <w:right w:w="0" w:type="dxa"/>
        </w:tblCellMar>
      </w:tblPr>
      <w:tblGrid>
        <w:gridCol w:w="1464"/>
        <w:gridCol w:w="4168"/>
        <w:gridCol w:w="1841"/>
      </w:tblGrid>
      <w:tr>
        <w:tblPrEx>
          <w:tblLayout w:type="fixed"/>
          <w:tblCellMar>
            <w:top w:w="50" w:type="dxa"/>
            <w:left w:w="0" w:type="dxa"/>
            <w:bottom w:w="0" w:type="dxa"/>
            <w:right w:w="0" w:type="dxa"/>
          </w:tblCellMar>
        </w:tblPrEx>
        <w:trPr>
          <w:trHeight w:val="301" w:hRule="atLeast"/>
          <w:tblCellSpacing w:w="0" w:type="dxa"/>
          <w:jc w:val="center"/>
        </w:trPr>
        <w:tc>
          <w:tcPr>
            <w:tcW w:w="1464" w:type="dxa"/>
            <w:shd w:val="clear"/>
            <w:vAlign w:val="center"/>
          </w:tcPr>
          <w:p>
            <w:pPr>
              <w:rPr>
                <w:rFonts w:hint="eastAsia" w:ascii="宋体"/>
                <w:sz w:val="24"/>
                <w:szCs w:val="24"/>
              </w:rPr>
            </w:pPr>
          </w:p>
        </w:tc>
        <w:tc>
          <w:tcPr>
            <w:tcW w:w="4168" w:type="dxa"/>
            <w:shd w:val="clear"/>
            <w:vAlign w:val="center"/>
          </w:tcPr>
          <w:p>
            <w:pPr>
              <w:keepNext w:val="0"/>
              <w:keepLines w:val="0"/>
              <w:widowControl/>
              <w:suppressLineNumbers w:val="0"/>
              <w:jc w:val="center"/>
            </w:pPr>
            <w:r>
              <w:rPr>
                <w:rStyle w:val="7"/>
                <w:lang w:val="en-US" w:eastAsia="zh-CN" w:bidi="ar"/>
              </w:rPr>
              <w:t>2016-2-15 0:00:00</w:t>
            </w:r>
          </w:p>
        </w:tc>
        <w:tc>
          <w:tcPr>
            <w:tcW w:w="1841" w:type="dxa"/>
            <w:shd w:val="clear"/>
            <w:vAlign w:val="center"/>
          </w:tcPr>
          <w:p>
            <w:pPr>
              <w:keepNext w:val="0"/>
              <w:keepLines w:val="0"/>
              <w:widowControl/>
              <w:suppressLineNumbers w:val="0"/>
              <w:jc w:val="left"/>
              <w:rPr>
                <w:rFonts w:hint="eastAsia" w:ascii="宋体" w:hAnsi="宋体" w:eastAsia="宋体" w:cs="宋体"/>
                <w:color w:val="000000"/>
                <w:sz w:val="12"/>
                <w:szCs w:val="12"/>
                <w:u w:val="none"/>
              </w:rPr>
            </w:pPr>
            <w:r>
              <w:rPr>
                <w:rFonts w:hint="eastAsia" w:ascii="宋体" w:hAnsi="宋体" w:eastAsia="宋体" w:cs="宋体"/>
                <w:color w:val="000000"/>
                <w:kern w:val="0"/>
                <w:sz w:val="12"/>
                <w:szCs w:val="12"/>
                <w:u w:val="none"/>
                <w:lang w:val="en-US" w:eastAsia="zh-CN" w:bidi="ar"/>
              </w:rPr>
              <w:t>【字号  </w:t>
            </w:r>
            <w:r>
              <w:rPr>
                <w:rFonts w:hint="eastAsia" w:ascii="宋体" w:hAnsi="宋体" w:eastAsia="宋体" w:cs="宋体"/>
                <w:color w:val="000000"/>
                <w:kern w:val="0"/>
                <w:sz w:val="16"/>
                <w:szCs w:val="16"/>
                <w:u w:val="none"/>
                <w:lang w:val="en-US" w:eastAsia="zh-CN" w:bidi="ar"/>
              </w:rPr>
              <w:fldChar w:fldCharType="begin"/>
            </w:r>
            <w:r>
              <w:rPr>
                <w:rFonts w:hint="eastAsia" w:ascii="宋体" w:hAnsi="宋体" w:eastAsia="宋体" w:cs="宋体"/>
                <w:color w:val="000000"/>
                <w:kern w:val="0"/>
                <w:sz w:val="16"/>
                <w:szCs w:val="16"/>
                <w:u w:val="none"/>
                <w:lang w:val="en-US" w:eastAsia="zh-CN" w:bidi="ar"/>
              </w:rPr>
              <w:instrText xml:space="preserve"> HYPERLINK "http://www.fzzx.sh.gov.cn/LT/javascript:changeSize(18)" </w:instrText>
            </w:r>
            <w:r>
              <w:rPr>
                <w:rFonts w:hint="eastAsia" w:ascii="宋体" w:hAnsi="宋体" w:eastAsia="宋体" w:cs="宋体"/>
                <w:color w:val="000000"/>
                <w:kern w:val="0"/>
                <w:sz w:val="16"/>
                <w:szCs w:val="16"/>
                <w:u w:val="none"/>
                <w:lang w:val="en-US" w:eastAsia="zh-CN" w:bidi="ar"/>
              </w:rPr>
              <w:fldChar w:fldCharType="separate"/>
            </w:r>
            <w:r>
              <w:rPr>
                <w:rStyle w:val="5"/>
                <w:rFonts w:hint="eastAsia" w:ascii="宋体" w:hAnsi="宋体" w:eastAsia="宋体" w:cs="宋体"/>
                <w:color w:val="000000"/>
                <w:sz w:val="16"/>
                <w:szCs w:val="16"/>
                <w:u w:val="none"/>
              </w:rPr>
              <w:t>大</w:t>
            </w:r>
            <w:r>
              <w:rPr>
                <w:rFonts w:hint="eastAsia" w:ascii="宋体" w:hAnsi="宋体" w:eastAsia="宋体" w:cs="宋体"/>
                <w:color w:val="000000"/>
                <w:kern w:val="0"/>
                <w:sz w:val="16"/>
                <w:szCs w:val="16"/>
                <w:u w:val="none"/>
                <w:lang w:val="en-US" w:eastAsia="zh-CN" w:bidi="ar"/>
              </w:rPr>
              <w:fldChar w:fldCharType="end"/>
            </w:r>
            <w:r>
              <w:rPr>
                <w:rFonts w:hint="eastAsia" w:ascii="宋体" w:hAnsi="宋体" w:eastAsia="宋体" w:cs="宋体"/>
                <w:color w:val="000000"/>
                <w:kern w:val="0"/>
                <w:sz w:val="12"/>
                <w:szCs w:val="12"/>
                <w:u w:val="none"/>
                <w:lang w:val="en-US" w:eastAsia="zh-CN" w:bidi="ar"/>
              </w:rPr>
              <w:t>  </w:t>
            </w:r>
            <w:r>
              <w:rPr>
                <w:rFonts w:hint="eastAsia" w:ascii="宋体" w:hAnsi="宋体" w:eastAsia="宋体" w:cs="宋体"/>
                <w:color w:val="000000"/>
                <w:kern w:val="0"/>
                <w:sz w:val="14"/>
                <w:szCs w:val="14"/>
                <w:u w:val="none"/>
                <w:lang w:val="en-US" w:eastAsia="zh-CN" w:bidi="ar"/>
              </w:rPr>
              <w:fldChar w:fldCharType="begin"/>
            </w:r>
            <w:r>
              <w:rPr>
                <w:rFonts w:hint="eastAsia" w:ascii="宋体" w:hAnsi="宋体" w:eastAsia="宋体" w:cs="宋体"/>
                <w:color w:val="000000"/>
                <w:kern w:val="0"/>
                <w:sz w:val="14"/>
                <w:szCs w:val="14"/>
                <w:u w:val="none"/>
                <w:lang w:val="en-US" w:eastAsia="zh-CN" w:bidi="ar"/>
              </w:rPr>
              <w:instrText xml:space="preserve"> HYPERLINK "http://www.fzzx.sh.gov.cn/LT/javascript:changeSize(14)" </w:instrText>
            </w:r>
            <w:r>
              <w:rPr>
                <w:rFonts w:hint="eastAsia" w:ascii="宋体" w:hAnsi="宋体" w:eastAsia="宋体" w:cs="宋体"/>
                <w:color w:val="000000"/>
                <w:kern w:val="0"/>
                <w:sz w:val="14"/>
                <w:szCs w:val="14"/>
                <w:u w:val="none"/>
                <w:lang w:val="en-US" w:eastAsia="zh-CN" w:bidi="ar"/>
              </w:rPr>
              <w:fldChar w:fldCharType="separate"/>
            </w:r>
            <w:r>
              <w:rPr>
                <w:rStyle w:val="5"/>
                <w:rFonts w:hint="eastAsia" w:ascii="宋体" w:hAnsi="宋体" w:eastAsia="宋体" w:cs="宋体"/>
                <w:color w:val="000000"/>
                <w:sz w:val="14"/>
                <w:szCs w:val="14"/>
                <w:u w:val="none"/>
              </w:rPr>
              <w:t>中</w:t>
            </w:r>
            <w:r>
              <w:rPr>
                <w:rFonts w:hint="eastAsia" w:ascii="宋体" w:hAnsi="宋体" w:eastAsia="宋体" w:cs="宋体"/>
                <w:color w:val="000000"/>
                <w:kern w:val="0"/>
                <w:sz w:val="14"/>
                <w:szCs w:val="14"/>
                <w:u w:val="none"/>
                <w:lang w:val="en-US" w:eastAsia="zh-CN" w:bidi="ar"/>
              </w:rPr>
              <w:fldChar w:fldCharType="end"/>
            </w:r>
            <w:r>
              <w:rPr>
                <w:rFonts w:hint="eastAsia" w:ascii="宋体" w:hAnsi="宋体" w:eastAsia="宋体" w:cs="宋体"/>
                <w:color w:val="000000"/>
                <w:kern w:val="0"/>
                <w:sz w:val="12"/>
                <w:szCs w:val="12"/>
                <w:u w:val="none"/>
                <w:lang w:val="en-US" w:eastAsia="zh-CN" w:bidi="ar"/>
              </w:rPr>
              <w:t>  </w:t>
            </w:r>
            <w:r>
              <w:rPr>
                <w:rFonts w:hint="eastAsia" w:ascii="宋体" w:hAnsi="宋体" w:eastAsia="宋体" w:cs="宋体"/>
                <w:color w:val="000000"/>
                <w:kern w:val="0"/>
                <w:sz w:val="12"/>
                <w:szCs w:val="12"/>
                <w:u w:val="none"/>
                <w:lang w:val="en-US" w:eastAsia="zh-CN" w:bidi="ar"/>
              </w:rPr>
              <w:fldChar w:fldCharType="begin"/>
            </w:r>
            <w:r>
              <w:rPr>
                <w:rFonts w:hint="eastAsia" w:ascii="宋体" w:hAnsi="宋体" w:eastAsia="宋体" w:cs="宋体"/>
                <w:color w:val="000000"/>
                <w:kern w:val="0"/>
                <w:sz w:val="12"/>
                <w:szCs w:val="12"/>
                <w:u w:val="none"/>
                <w:lang w:val="en-US" w:eastAsia="zh-CN" w:bidi="ar"/>
              </w:rPr>
              <w:instrText xml:space="preserve"> HYPERLINK "http://www.fzzx.sh.gov.cn/LT/javascript:changeSize(12)" </w:instrText>
            </w:r>
            <w:r>
              <w:rPr>
                <w:rFonts w:hint="eastAsia" w:ascii="宋体" w:hAnsi="宋体" w:eastAsia="宋体" w:cs="宋体"/>
                <w:color w:val="000000"/>
                <w:kern w:val="0"/>
                <w:sz w:val="12"/>
                <w:szCs w:val="12"/>
                <w:u w:val="none"/>
                <w:lang w:val="en-US" w:eastAsia="zh-CN" w:bidi="ar"/>
              </w:rPr>
              <w:fldChar w:fldCharType="separate"/>
            </w:r>
            <w:r>
              <w:rPr>
                <w:rStyle w:val="5"/>
                <w:rFonts w:hint="eastAsia" w:ascii="宋体" w:hAnsi="宋体" w:eastAsia="宋体" w:cs="宋体"/>
                <w:color w:val="000000"/>
                <w:sz w:val="12"/>
                <w:szCs w:val="12"/>
                <w:u w:val="none"/>
              </w:rPr>
              <w:t>小</w:t>
            </w:r>
            <w:r>
              <w:rPr>
                <w:rFonts w:hint="eastAsia" w:ascii="宋体" w:hAnsi="宋体" w:eastAsia="宋体" w:cs="宋体"/>
                <w:color w:val="000000"/>
                <w:kern w:val="0"/>
                <w:sz w:val="12"/>
                <w:szCs w:val="12"/>
                <w:u w:val="none"/>
                <w:lang w:val="en-US" w:eastAsia="zh-CN" w:bidi="ar"/>
              </w:rPr>
              <w:fldChar w:fldCharType="end"/>
            </w:r>
            <w:r>
              <w:rPr>
                <w:rFonts w:hint="eastAsia" w:ascii="宋体" w:hAnsi="宋体" w:eastAsia="宋体" w:cs="宋体"/>
                <w:color w:val="000000"/>
                <w:kern w:val="0"/>
                <w:sz w:val="12"/>
                <w:szCs w:val="12"/>
                <w:u w:val="none"/>
                <w:lang w:val="en-US" w:eastAsia="zh-CN" w:bidi="ar"/>
              </w:rPr>
              <w:t>】</w:t>
            </w:r>
          </w:p>
        </w:tc>
      </w:tr>
    </w:tbl>
    <w:p>
      <w:pPr>
        <w:rPr>
          <w:vanish/>
          <w:sz w:val="24"/>
          <w:szCs w:val="24"/>
        </w:rPr>
      </w:pPr>
    </w:p>
    <w:tbl>
      <w:tblPr>
        <w:tblW w:w="7475" w:type="dxa"/>
        <w:jc w:val="center"/>
        <w:tblCellSpacing w:w="0" w:type="dxa"/>
        <w:tblInd w:w="416" w:type="dxa"/>
        <w:shd w:val="clear"/>
        <w:tblLayout w:type="fixed"/>
        <w:tblCellMar>
          <w:top w:w="0" w:type="dxa"/>
          <w:left w:w="0" w:type="dxa"/>
          <w:bottom w:w="0" w:type="dxa"/>
          <w:right w:w="0" w:type="dxa"/>
        </w:tblCellMar>
      </w:tblPr>
      <w:tblGrid>
        <w:gridCol w:w="7475"/>
      </w:tblGrid>
      <w:tr>
        <w:tblPrEx>
          <w:shd w:val="clear"/>
          <w:tblLayout w:type="fixed"/>
          <w:tblCellMar>
            <w:top w:w="0" w:type="dxa"/>
            <w:left w:w="0" w:type="dxa"/>
            <w:bottom w:w="0" w:type="dxa"/>
            <w:right w:w="0" w:type="dxa"/>
          </w:tblCellMar>
        </w:tblPrEx>
        <w:trPr>
          <w:trHeight w:val="151" w:hRule="atLeast"/>
          <w:tblCellSpacing w:w="0" w:type="dxa"/>
          <w:jc w:val="center"/>
        </w:trPr>
        <w:tc>
          <w:tcPr>
            <w:tcW w:w="7475"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blCellSpacing w:w="0" w:type="dxa"/>
          <w:jc w:val="center"/>
        </w:trPr>
        <w:tc>
          <w:tcPr>
            <w:tcW w:w="7475" w:type="dxa"/>
            <w:shd w:val="clear"/>
            <w:vAlign w:val="center"/>
          </w:tcPr>
          <w:p>
            <w:pPr>
              <w:pStyle w:val="2"/>
              <w:keepNext w:val="0"/>
              <w:keepLines w:val="0"/>
              <w:widowControl/>
              <w:suppressLineNumbers w:val="0"/>
              <w:jc w:val="center"/>
            </w:pPr>
            <w:r>
              <w:rPr>
                <w:sz w:val="14"/>
                <w:szCs w:val="14"/>
              </w:rPr>
              <w:t>沪府办〔2016〕5号</w:t>
            </w:r>
          </w:p>
          <w:p>
            <w:pPr>
              <w:pStyle w:val="2"/>
              <w:keepNext w:val="0"/>
              <w:keepLines w:val="0"/>
              <w:widowControl/>
              <w:suppressLineNumbers w:val="0"/>
              <w:jc w:val="center"/>
            </w:pPr>
            <w:r>
              <w:rPr>
                <w:rStyle w:val="4"/>
                <w:sz w:val="14"/>
                <w:szCs w:val="14"/>
              </w:rPr>
              <w:t>上海市人民政府办公厅关于转发市政府发展研究中心制订的《上海市人民政府决策咨询研究课题管理办法》的通知</w:t>
            </w:r>
          </w:p>
          <w:p>
            <w:pPr>
              <w:pStyle w:val="2"/>
              <w:keepNext w:val="0"/>
              <w:keepLines w:val="0"/>
              <w:widowControl/>
              <w:suppressLineNumbers w:val="0"/>
            </w:pPr>
            <w:r>
              <w:rPr>
                <w:sz w:val="14"/>
                <w:szCs w:val="14"/>
              </w:rPr>
              <w:t>各区、县人民政府，市政府有关委、办、局：</w:t>
            </w:r>
          </w:p>
          <w:p>
            <w:pPr>
              <w:pStyle w:val="2"/>
              <w:keepNext w:val="0"/>
              <w:keepLines w:val="0"/>
              <w:widowControl/>
              <w:suppressLineNumbers w:val="0"/>
            </w:pPr>
            <w:r>
              <w:rPr>
                <w:sz w:val="14"/>
                <w:szCs w:val="14"/>
              </w:rPr>
              <w:t>　　市政府发展研究中心制订的《上海市人民政府决策咨询研究课题管理办法》已经市政府同意，现转发给你们，请认真按照执行。</w:t>
            </w:r>
          </w:p>
          <w:p>
            <w:pPr>
              <w:pStyle w:val="2"/>
              <w:keepNext w:val="0"/>
              <w:keepLines w:val="0"/>
              <w:widowControl/>
              <w:suppressLineNumbers w:val="0"/>
              <w:jc w:val="right"/>
            </w:pPr>
            <w:r>
              <w:rPr>
                <w:sz w:val="14"/>
                <w:szCs w:val="14"/>
              </w:rPr>
              <w:t>　　上海市人民政府办公厅</w:t>
            </w:r>
          </w:p>
          <w:p>
            <w:pPr>
              <w:pStyle w:val="2"/>
              <w:keepNext w:val="0"/>
              <w:keepLines w:val="0"/>
              <w:widowControl/>
              <w:suppressLineNumbers w:val="0"/>
              <w:jc w:val="right"/>
            </w:pPr>
            <w:r>
              <w:rPr>
                <w:sz w:val="14"/>
                <w:szCs w:val="14"/>
              </w:rPr>
              <w:t>2016年1月23日</w:t>
            </w:r>
          </w:p>
          <w:p>
            <w:pPr>
              <w:pStyle w:val="2"/>
              <w:keepNext w:val="0"/>
              <w:keepLines w:val="0"/>
              <w:widowControl/>
              <w:suppressLineNumbers w:val="0"/>
              <w:jc w:val="center"/>
            </w:pPr>
            <w:r>
              <w:rPr>
                <w:rStyle w:val="4"/>
                <w:sz w:val="14"/>
                <w:szCs w:val="14"/>
              </w:rPr>
              <w:t>上海市人民政府决策咨询研究课题管理办法</w:t>
            </w:r>
          </w:p>
          <w:p>
            <w:pPr>
              <w:pStyle w:val="2"/>
              <w:keepNext w:val="0"/>
              <w:keepLines w:val="0"/>
              <w:widowControl/>
              <w:suppressLineNumbers w:val="0"/>
            </w:pPr>
            <w:r>
              <w:rPr>
                <w:sz w:val="14"/>
                <w:szCs w:val="14"/>
              </w:rPr>
              <w:t>　　第一章总则</w:t>
            </w:r>
          </w:p>
          <w:p>
            <w:pPr>
              <w:pStyle w:val="2"/>
              <w:keepNext w:val="0"/>
              <w:keepLines w:val="0"/>
              <w:widowControl/>
              <w:suppressLineNumbers w:val="0"/>
            </w:pPr>
            <w:r>
              <w:rPr>
                <w:sz w:val="14"/>
                <w:szCs w:val="14"/>
              </w:rPr>
              <w:t>　　第一条（目的）</w:t>
            </w:r>
          </w:p>
          <w:p>
            <w:pPr>
              <w:pStyle w:val="2"/>
              <w:keepNext w:val="0"/>
              <w:keepLines w:val="0"/>
              <w:widowControl/>
              <w:suppressLineNumbers w:val="0"/>
            </w:pPr>
            <w:r>
              <w:rPr>
                <w:sz w:val="14"/>
                <w:szCs w:val="14"/>
              </w:rPr>
              <w:t>　　为进一步规范上海市人民政府决策咨询研究课题管理，提高课题研究质量和服务决策的水平，制定本办法。</w:t>
            </w:r>
          </w:p>
          <w:p>
            <w:pPr>
              <w:pStyle w:val="2"/>
              <w:keepNext w:val="0"/>
              <w:keepLines w:val="0"/>
              <w:widowControl/>
              <w:suppressLineNumbers w:val="0"/>
            </w:pPr>
            <w:r>
              <w:rPr>
                <w:sz w:val="14"/>
                <w:szCs w:val="14"/>
              </w:rPr>
              <w:t>　　第二条（定义）</w:t>
            </w:r>
          </w:p>
          <w:p>
            <w:pPr>
              <w:pStyle w:val="2"/>
              <w:keepNext w:val="0"/>
              <w:keepLines w:val="0"/>
              <w:widowControl/>
              <w:suppressLineNumbers w:val="0"/>
            </w:pPr>
            <w:r>
              <w:rPr>
                <w:sz w:val="14"/>
                <w:szCs w:val="14"/>
              </w:rPr>
              <w:t>　　本办法所称的上海市人民政府决策咨询研究课题（以下简称“课题”），是指围绕经济社会发展和改革开放中的重点问题和市中心工作，由上海市人民政府发展研究中心（以下简称“中心”）通过招标、委托等方式，组织符合条件的单位或个人开展研究，提供决策咨询服务的课题。</w:t>
            </w:r>
          </w:p>
          <w:p>
            <w:pPr>
              <w:pStyle w:val="2"/>
              <w:keepNext w:val="0"/>
              <w:keepLines w:val="0"/>
              <w:widowControl/>
              <w:suppressLineNumbers w:val="0"/>
            </w:pPr>
            <w:r>
              <w:rPr>
                <w:sz w:val="14"/>
                <w:szCs w:val="14"/>
              </w:rPr>
              <w:t>　　前款所称的课题，包括重点课题、重点专项课题、一般专项课题等。</w:t>
            </w:r>
          </w:p>
          <w:p>
            <w:pPr>
              <w:pStyle w:val="2"/>
              <w:keepNext w:val="0"/>
              <w:keepLines w:val="0"/>
              <w:widowControl/>
              <w:suppressLineNumbers w:val="0"/>
            </w:pPr>
            <w:r>
              <w:rPr>
                <w:sz w:val="14"/>
                <w:szCs w:val="14"/>
              </w:rPr>
              <w:t>　　第三条（课题管理原则）</w:t>
            </w:r>
          </w:p>
          <w:p>
            <w:pPr>
              <w:pStyle w:val="2"/>
              <w:keepNext w:val="0"/>
              <w:keepLines w:val="0"/>
              <w:widowControl/>
              <w:suppressLineNumbers w:val="0"/>
            </w:pPr>
            <w:r>
              <w:rPr>
                <w:sz w:val="14"/>
                <w:szCs w:val="14"/>
              </w:rPr>
              <w:t>　　课题管理坚持公平、公正的原则，坚持改革、创新，服务决策咨询。</w:t>
            </w:r>
          </w:p>
          <w:p>
            <w:pPr>
              <w:pStyle w:val="2"/>
              <w:keepNext w:val="0"/>
              <w:keepLines w:val="0"/>
              <w:widowControl/>
              <w:suppressLineNumbers w:val="0"/>
            </w:pPr>
            <w:r>
              <w:rPr>
                <w:sz w:val="14"/>
                <w:szCs w:val="14"/>
              </w:rPr>
              <w:t>　　第四条（管理机构）</w:t>
            </w:r>
          </w:p>
          <w:p>
            <w:pPr>
              <w:pStyle w:val="2"/>
              <w:keepNext w:val="0"/>
              <w:keepLines w:val="0"/>
              <w:widowControl/>
              <w:suppressLineNumbers w:val="0"/>
            </w:pPr>
            <w:r>
              <w:rPr>
                <w:sz w:val="14"/>
                <w:szCs w:val="14"/>
              </w:rPr>
              <w:t>　　课题管理由中心负责。</w:t>
            </w:r>
          </w:p>
          <w:p>
            <w:pPr>
              <w:pStyle w:val="2"/>
              <w:keepNext w:val="0"/>
              <w:keepLines w:val="0"/>
              <w:widowControl/>
              <w:suppressLineNumbers w:val="0"/>
            </w:pPr>
            <w:r>
              <w:rPr>
                <w:sz w:val="14"/>
                <w:szCs w:val="14"/>
              </w:rPr>
              <w:t>　　中心应当建立课题联络制度，及时掌握课题研究进程及协调有关事项。</w:t>
            </w:r>
          </w:p>
          <w:p>
            <w:pPr>
              <w:pStyle w:val="2"/>
              <w:keepNext w:val="0"/>
              <w:keepLines w:val="0"/>
              <w:widowControl/>
              <w:suppressLineNumbers w:val="0"/>
            </w:pPr>
            <w:r>
              <w:rPr>
                <w:sz w:val="14"/>
                <w:szCs w:val="14"/>
              </w:rPr>
              <w:t>　　中心组织建立课题评审专家库，并健全专家库的运行管理、诚信考核和退出机制。列入专家库的专家应当具备相关领域的权威性和代表性。</w:t>
            </w:r>
          </w:p>
          <w:p>
            <w:pPr>
              <w:pStyle w:val="2"/>
              <w:keepNext w:val="0"/>
              <w:keepLines w:val="0"/>
              <w:widowControl/>
              <w:suppressLineNumbers w:val="0"/>
            </w:pPr>
            <w:r>
              <w:rPr>
                <w:sz w:val="14"/>
                <w:szCs w:val="14"/>
              </w:rPr>
              <w:t>　　中心应当加强对课题研究过程的跟踪指导，并对课题经费使用情况进行监督。</w:t>
            </w:r>
          </w:p>
          <w:p>
            <w:pPr>
              <w:pStyle w:val="2"/>
              <w:keepNext w:val="0"/>
              <w:keepLines w:val="0"/>
              <w:widowControl/>
              <w:suppressLineNumbers w:val="0"/>
            </w:pPr>
            <w:r>
              <w:rPr>
                <w:sz w:val="14"/>
                <w:szCs w:val="14"/>
              </w:rPr>
              <w:t>　　第二章课题计划确定</w:t>
            </w:r>
          </w:p>
          <w:p>
            <w:pPr>
              <w:pStyle w:val="2"/>
              <w:keepNext w:val="0"/>
              <w:keepLines w:val="0"/>
              <w:widowControl/>
              <w:suppressLineNumbers w:val="0"/>
            </w:pPr>
            <w:r>
              <w:rPr>
                <w:sz w:val="14"/>
                <w:szCs w:val="14"/>
              </w:rPr>
              <w:t>　　第五条（课题计划安排）</w:t>
            </w:r>
          </w:p>
          <w:p>
            <w:pPr>
              <w:pStyle w:val="2"/>
              <w:keepNext w:val="0"/>
              <w:keepLines w:val="0"/>
              <w:widowControl/>
              <w:suppressLineNumbers w:val="0"/>
            </w:pPr>
            <w:r>
              <w:rPr>
                <w:sz w:val="14"/>
                <w:szCs w:val="14"/>
              </w:rPr>
              <w:t>　　重点课题计划原则上按年度作出安排，重点专项课题和一般专项课题由中心根据实际需要作出安排。</w:t>
            </w:r>
          </w:p>
          <w:p>
            <w:pPr>
              <w:pStyle w:val="2"/>
              <w:keepNext w:val="0"/>
              <w:keepLines w:val="0"/>
              <w:widowControl/>
              <w:suppressLineNumbers w:val="0"/>
            </w:pPr>
            <w:r>
              <w:rPr>
                <w:sz w:val="14"/>
                <w:szCs w:val="14"/>
              </w:rPr>
              <w:t>　　第六条（重点课题选题征询）</w:t>
            </w:r>
          </w:p>
          <w:p>
            <w:pPr>
              <w:pStyle w:val="2"/>
              <w:keepNext w:val="0"/>
              <w:keepLines w:val="0"/>
              <w:widowControl/>
              <w:suppressLineNumbers w:val="0"/>
            </w:pPr>
            <w:r>
              <w:rPr>
                <w:sz w:val="14"/>
                <w:szCs w:val="14"/>
              </w:rPr>
              <w:t>　　中心每年第四季度向市有关部门、科研院校、专家征询列入第二年重点课题的选题。</w:t>
            </w:r>
          </w:p>
          <w:p>
            <w:pPr>
              <w:pStyle w:val="2"/>
              <w:keepNext w:val="0"/>
              <w:keepLines w:val="0"/>
              <w:widowControl/>
              <w:suppressLineNumbers w:val="0"/>
            </w:pPr>
            <w:r>
              <w:rPr>
                <w:sz w:val="14"/>
                <w:szCs w:val="14"/>
              </w:rPr>
              <w:t>　　第七条（重点课题选题筛选）</w:t>
            </w:r>
          </w:p>
          <w:p>
            <w:pPr>
              <w:pStyle w:val="2"/>
              <w:keepNext w:val="0"/>
              <w:keepLines w:val="0"/>
              <w:widowControl/>
              <w:suppressLineNumbers w:val="0"/>
            </w:pPr>
            <w:r>
              <w:rPr>
                <w:sz w:val="14"/>
                <w:szCs w:val="14"/>
              </w:rPr>
              <w:t>　　中心组织专家组对市有关部门、科研院校、专家征询的课题进行筛选，形成年度重点课题初步方案并报各分管市领导。根据各分管市领导的反馈意见，中心汇总形成年度重点课题选题方案报市政府审定。</w:t>
            </w:r>
          </w:p>
          <w:p>
            <w:pPr>
              <w:pStyle w:val="2"/>
              <w:keepNext w:val="0"/>
              <w:keepLines w:val="0"/>
              <w:widowControl/>
              <w:suppressLineNumbers w:val="0"/>
            </w:pPr>
            <w:r>
              <w:rPr>
                <w:sz w:val="14"/>
                <w:szCs w:val="14"/>
              </w:rPr>
              <w:t>　　第八条（重点专项、一般专项课题确定）</w:t>
            </w:r>
          </w:p>
          <w:p>
            <w:pPr>
              <w:pStyle w:val="2"/>
              <w:keepNext w:val="0"/>
              <w:keepLines w:val="0"/>
              <w:widowControl/>
              <w:suppressLineNumbers w:val="0"/>
            </w:pPr>
            <w:r>
              <w:rPr>
                <w:sz w:val="14"/>
                <w:szCs w:val="14"/>
              </w:rPr>
              <w:t>　　重点专项课题及一般专项课题，根据国家部委相关部署、市重点工作、市领导要求、市有关部门需求建议和经济社会发展中的热点难点问题，由中心研究确定。</w:t>
            </w:r>
          </w:p>
          <w:p>
            <w:pPr>
              <w:pStyle w:val="2"/>
              <w:keepNext w:val="0"/>
              <w:keepLines w:val="0"/>
              <w:widowControl/>
              <w:suppressLineNumbers w:val="0"/>
            </w:pPr>
            <w:r>
              <w:rPr>
                <w:sz w:val="14"/>
                <w:szCs w:val="14"/>
              </w:rPr>
              <w:t>　　第三章课题承接人确定</w:t>
            </w:r>
          </w:p>
          <w:p>
            <w:pPr>
              <w:pStyle w:val="2"/>
              <w:keepNext w:val="0"/>
              <w:keepLines w:val="0"/>
              <w:widowControl/>
              <w:suppressLineNumbers w:val="0"/>
            </w:pPr>
            <w:r>
              <w:rPr>
                <w:sz w:val="14"/>
                <w:szCs w:val="14"/>
              </w:rPr>
              <w:t>　　第九条（课题承接人确定方式）</w:t>
            </w:r>
          </w:p>
          <w:p>
            <w:pPr>
              <w:pStyle w:val="2"/>
              <w:keepNext w:val="0"/>
              <w:keepLines w:val="0"/>
              <w:widowControl/>
              <w:suppressLineNumbers w:val="0"/>
            </w:pPr>
            <w:r>
              <w:rPr>
                <w:sz w:val="14"/>
                <w:szCs w:val="14"/>
              </w:rPr>
              <w:t>　　课题按招标或委托方式，确定课题承接人。</w:t>
            </w:r>
          </w:p>
          <w:p>
            <w:pPr>
              <w:pStyle w:val="2"/>
              <w:keepNext w:val="0"/>
              <w:keepLines w:val="0"/>
              <w:widowControl/>
              <w:suppressLineNumbers w:val="0"/>
            </w:pPr>
            <w:r>
              <w:rPr>
                <w:sz w:val="14"/>
                <w:szCs w:val="14"/>
              </w:rPr>
              <w:t>　　第十条（课题招标）</w:t>
            </w:r>
          </w:p>
          <w:p>
            <w:pPr>
              <w:pStyle w:val="2"/>
              <w:keepNext w:val="0"/>
              <w:keepLines w:val="0"/>
              <w:widowControl/>
              <w:suppressLineNumbers w:val="0"/>
            </w:pPr>
            <w:r>
              <w:rPr>
                <w:sz w:val="14"/>
                <w:szCs w:val="14"/>
              </w:rPr>
              <w:t>　　课题招标，可采取公开招标和邀请招标的方式。</w:t>
            </w:r>
          </w:p>
          <w:p>
            <w:pPr>
              <w:pStyle w:val="2"/>
              <w:keepNext w:val="0"/>
              <w:keepLines w:val="0"/>
              <w:widowControl/>
              <w:suppressLineNumbers w:val="0"/>
            </w:pPr>
            <w:r>
              <w:rPr>
                <w:sz w:val="14"/>
                <w:szCs w:val="14"/>
              </w:rPr>
              <w:t>　　经市政府批准的年度重点课题，应当采取公开招标方式，由中心定期组织。</w:t>
            </w:r>
          </w:p>
          <w:p>
            <w:pPr>
              <w:pStyle w:val="2"/>
              <w:keepNext w:val="0"/>
              <w:keepLines w:val="0"/>
              <w:widowControl/>
              <w:suppressLineNumbers w:val="0"/>
            </w:pPr>
            <w:r>
              <w:rPr>
                <w:sz w:val="14"/>
                <w:szCs w:val="14"/>
              </w:rPr>
              <w:t>　　重点专项课题和一般专项课题的招标，可以采取公开招标或者邀请招标的方式，由中心根据实际需要开展。</w:t>
            </w:r>
          </w:p>
          <w:p>
            <w:pPr>
              <w:pStyle w:val="2"/>
              <w:keepNext w:val="0"/>
              <w:keepLines w:val="0"/>
              <w:widowControl/>
              <w:suppressLineNumbers w:val="0"/>
            </w:pPr>
            <w:r>
              <w:rPr>
                <w:sz w:val="14"/>
                <w:szCs w:val="14"/>
              </w:rPr>
              <w:t>　　第十一条（课题招标文件）</w:t>
            </w:r>
          </w:p>
          <w:p>
            <w:pPr>
              <w:pStyle w:val="2"/>
              <w:keepNext w:val="0"/>
              <w:keepLines w:val="0"/>
              <w:widowControl/>
              <w:suppressLineNumbers w:val="0"/>
            </w:pPr>
            <w:r>
              <w:rPr>
                <w:sz w:val="14"/>
                <w:szCs w:val="14"/>
              </w:rPr>
              <w:t>　　实行公开招标的，中心应当按规定编制《上海市人民政府决策咨询研究课题公开招标指南》（以下简称《招标指南》），并发出《上海市人民政府决策咨询研究课题公开招标通知》（以下简称《招标通知》）。《招标通知》和《招标指南》应当通过中国上海门户网站（www.shanghai.gov.cn）和中心网站（www.fzzx.sh.gov.cn）等途径向社会公开。</w:t>
            </w:r>
          </w:p>
          <w:p>
            <w:pPr>
              <w:pStyle w:val="2"/>
              <w:keepNext w:val="0"/>
              <w:keepLines w:val="0"/>
              <w:widowControl/>
              <w:suppressLineNumbers w:val="0"/>
            </w:pPr>
            <w:r>
              <w:rPr>
                <w:sz w:val="14"/>
                <w:szCs w:val="14"/>
              </w:rPr>
              <w:t>　　第十二条（课题投标）</w:t>
            </w:r>
          </w:p>
          <w:p>
            <w:pPr>
              <w:pStyle w:val="2"/>
              <w:keepNext w:val="0"/>
              <w:keepLines w:val="0"/>
              <w:widowControl/>
              <w:suppressLineNumbers w:val="0"/>
            </w:pPr>
            <w:r>
              <w:rPr>
                <w:sz w:val="14"/>
                <w:szCs w:val="14"/>
              </w:rPr>
              <w:t>　　公开招标的课题，具有相应研究能力及条件、遵守本办法规定的单位或个人均可申报。邀请招标的课题，受邀的单位和个人可以申报。</w:t>
            </w:r>
          </w:p>
          <w:p>
            <w:pPr>
              <w:pStyle w:val="2"/>
              <w:keepNext w:val="0"/>
              <w:keepLines w:val="0"/>
              <w:widowControl/>
              <w:suppressLineNumbers w:val="0"/>
            </w:pPr>
            <w:r>
              <w:rPr>
                <w:sz w:val="14"/>
                <w:szCs w:val="14"/>
              </w:rPr>
              <w:t>　　申报人须在规定时间内，在中心网站下载《上海市人民政府决策咨询研究项目课题申请书》，并按照《招标指南》及申报要求填报。</w:t>
            </w:r>
          </w:p>
          <w:p>
            <w:pPr>
              <w:pStyle w:val="2"/>
              <w:keepNext w:val="0"/>
              <w:keepLines w:val="0"/>
              <w:widowControl/>
              <w:suppressLineNumbers w:val="0"/>
            </w:pPr>
            <w:r>
              <w:rPr>
                <w:sz w:val="14"/>
                <w:szCs w:val="14"/>
              </w:rPr>
              <w:t>　　第十三条（课题评标）</w:t>
            </w:r>
          </w:p>
          <w:p>
            <w:pPr>
              <w:pStyle w:val="2"/>
              <w:keepNext w:val="0"/>
              <w:keepLines w:val="0"/>
              <w:widowControl/>
              <w:suppressLineNumbers w:val="0"/>
            </w:pPr>
            <w:r>
              <w:rPr>
                <w:sz w:val="14"/>
                <w:szCs w:val="14"/>
              </w:rPr>
              <w:t>　　中心对投标的单位和个人，应当组织专家组进行评审。专家评审采用双向匿名评分与专家评议相结合的方法，由专家组提出课题承接人的推荐人选。</w:t>
            </w:r>
          </w:p>
          <w:p>
            <w:pPr>
              <w:pStyle w:val="2"/>
              <w:keepNext w:val="0"/>
              <w:keepLines w:val="0"/>
              <w:widowControl/>
              <w:suppressLineNumbers w:val="0"/>
            </w:pPr>
            <w:r>
              <w:rPr>
                <w:sz w:val="14"/>
                <w:szCs w:val="14"/>
              </w:rPr>
              <w:t>　　对专家组推荐的课题承接人选，中心通过组织面试比选会，最终确定课题承接人。同一课题，中心可以根据面试实际情况，确定两个或两个以上课题承接人。课题承接人选面试未通过的，该课题流标。</w:t>
            </w:r>
          </w:p>
          <w:p>
            <w:pPr>
              <w:pStyle w:val="2"/>
              <w:keepNext w:val="0"/>
              <w:keepLines w:val="0"/>
              <w:widowControl/>
              <w:suppressLineNumbers w:val="0"/>
            </w:pPr>
            <w:r>
              <w:rPr>
                <w:sz w:val="14"/>
                <w:szCs w:val="14"/>
              </w:rPr>
              <w:t>　　第十四条（中标结果公布）</w:t>
            </w:r>
          </w:p>
          <w:p>
            <w:pPr>
              <w:pStyle w:val="2"/>
              <w:keepNext w:val="0"/>
              <w:keepLines w:val="0"/>
              <w:widowControl/>
              <w:suppressLineNumbers w:val="0"/>
            </w:pPr>
            <w:r>
              <w:rPr>
                <w:sz w:val="14"/>
                <w:szCs w:val="14"/>
              </w:rPr>
              <w:t>　　课题招标确定的最终承接人，中心应当通过中国上海门户网站和中心网站等途径向社会公布。</w:t>
            </w:r>
          </w:p>
          <w:p>
            <w:pPr>
              <w:pStyle w:val="2"/>
              <w:keepNext w:val="0"/>
              <w:keepLines w:val="0"/>
              <w:widowControl/>
              <w:suppressLineNumbers w:val="0"/>
            </w:pPr>
            <w:r>
              <w:rPr>
                <w:sz w:val="14"/>
                <w:szCs w:val="14"/>
              </w:rPr>
              <w:t>　　第十五条（委托情形）</w:t>
            </w:r>
          </w:p>
          <w:p>
            <w:pPr>
              <w:pStyle w:val="2"/>
              <w:keepNext w:val="0"/>
              <w:keepLines w:val="0"/>
              <w:widowControl/>
              <w:suppressLineNumbers w:val="0"/>
            </w:pPr>
            <w:r>
              <w:rPr>
                <w:sz w:val="14"/>
                <w:szCs w:val="14"/>
              </w:rPr>
              <w:t>　　有下列情形之一的重点专项课题和一般专项课题，可以采用委托方式确定课题承接人：</w:t>
            </w:r>
          </w:p>
          <w:p>
            <w:pPr>
              <w:pStyle w:val="2"/>
              <w:keepNext w:val="0"/>
              <w:keepLines w:val="0"/>
              <w:widowControl/>
              <w:suppressLineNumbers w:val="0"/>
            </w:pPr>
            <w:r>
              <w:rPr>
                <w:sz w:val="14"/>
                <w:szCs w:val="14"/>
              </w:rPr>
              <w:t>　　（一）需要在短期内提供研究成果的；</w:t>
            </w:r>
          </w:p>
          <w:p>
            <w:pPr>
              <w:pStyle w:val="2"/>
              <w:keepNext w:val="0"/>
              <w:keepLines w:val="0"/>
              <w:widowControl/>
              <w:suppressLineNumbers w:val="0"/>
            </w:pPr>
            <w:r>
              <w:rPr>
                <w:sz w:val="14"/>
                <w:szCs w:val="14"/>
              </w:rPr>
              <w:t>　　（二）课题专业性较强，适合的研究人员较为有限的；</w:t>
            </w:r>
          </w:p>
          <w:p>
            <w:pPr>
              <w:pStyle w:val="2"/>
              <w:keepNext w:val="0"/>
              <w:keepLines w:val="0"/>
              <w:widowControl/>
              <w:suppressLineNumbers w:val="0"/>
            </w:pPr>
            <w:r>
              <w:rPr>
                <w:sz w:val="14"/>
                <w:szCs w:val="14"/>
              </w:rPr>
              <w:t>　　（三）课题涉及领域已有相关研究成果的；</w:t>
            </w:r>
          </w:p>
          <w:p>
            <w:pPr>
              <w:pStyle w:val="2"/>
              <w:keepNext w:val="0"/>
              <w:keepLines w:val="0"/>
              <w:widowControl/>
              <w:suppressLineNumbers w:val="0"/>
            </w:pPr>
            <w:r>
              <w:rPr>
                <w:sz w:val="14"/>
                <w:szCs w:val="14"/>
              </w:rPr>
              <w:t>　　（四）中心认为需要采取委托方式的其他情形。</w:t>
            </w:r>
          </w:p>
          <w:p>
            <w:pPr>
              <w:pStyle w:val="2"/>
              <w:keepNext w:val="0"/>
              <w:keepLines w:val="0"/>
              <w:widowControl/>
              <w:suppressLineNumbers w:val="0"/>
            </w:pPr>
            <w:r>
              <w:rPr>
                <w:sz w:val="14"/>
                <w:szCs w:val="14"/>
              </w:rPr>
              <w:t>　　重点课题招标流标的，也可以采用委托方式确定课题承接人。</w:t>
            </w:r>
          </w:p>
          <w:p>
            <w:pPr>
              <w:pStyle w:val="2"/>
              <w:keepNext w:val="0"/>
              <w:keepLines w:val="0"/>
              <w:widowControl/>
              <w:suppressLineNumbers w:val="0"/>
            </w:pPr>
            <w:r>
              <w:rPr>
                <w:sz w:val="14"/>
                <w:szCs w:val="14"/>
              </w:rPr>
              <w:t>　　第十六条（委托确定）</w:t>
            </w:r>
          </w:p>
          <w:p>
            <w:pPr>
              <w:pStyle w:val="2"/>
              <w:keepNext w:val="0"/>
              <w:keepLines w:val="0"/>
              <w:widowControl/>
              <w:suppressLineNumbers w:val="0"/>
            </w:pPr>
            <w:r>
              <w:rPr>
                <w:sz w:val="14"/>
                <w:szCs w:val="14"/>
              </w:rPr>
              <w:t>　　课题拟采用委托方式确定课题承接人的，中心应当与拟承接人选进行沟通，达成初步意向后由中心研究决定。同一课题，中心可以根据课题需要或者委托的实际情况，确定两个或两个以上课题承接人。</w:t>
            </w:r>
          </w:p>
          <w:p>
            <w:pPr>
              <w:pStyle w:val="2"/>
              <w:keepNext w:val="0"/>
              <w:keepLines w:val="0"/>
              <w:widowControl/>
              <w:suppressLineNumbers w:val="0"/>
            </w:pPr>
            <w:r>
              <w:rPr>
                <w:sz w:val="14"/>
                <w:szCs w:val="14"/>
              </w:rPr>
              <w:t>　　第四章过程管理</w:t>
            </w:r>
          </w:p>
          <w:p>
            <w:pPr>
              <w:pStyle w:val="2"/>
              <w:keepNext w:val="0"/>
              <w:keepLines w:val="0"/>
              <w:widowControl/>
              <w:suppressLineNumbers w:val="0"/>
            </w:pPr>
            <w:r>
              <w:rPr>
                <w:sz w:val="14"/>
                <w:szCs w:val="14"/>
              </w:rPr>
              <w:t>　　第十七条（课题立项）</w:t>
            </w:r>
          </w:p>
          <w:p>
            <w:pPr>
              <w:pStyle w:val="2"/>
              <w:keepNext w:val="0"/>
              <w:keepLines w:val="0"/>
              <w:widowControl/>
              <w:suppressLineNumbers w:val="0"/>
            </w:pPr>
            <w:r>
              <w:rPr>
                <w:sz w:val="14"/>
                <w:szCs w:val="14"/>
              </w:rPr>
              <w:t>　　课题承接人经中心确定后，由中心向课题承接人出具《立项通知书》或课题委托通知。</w:t>
            </w:r>
          </w:p>
          <w:p>
            <w:pPr>
              <w:pStyle w:val="2"/>
              <w:keepNext w:val="0"/>
              <w:keepLines w:val="0"/>
              <w:widowControl/>
              <w:suppressLineNumbers w:val="0"/>
              <w:rPr>
                <w:color w:val="C00000"/>
              </w:rPr>
            </w:pPr>
            <w:r>
              <w:rPr>
                <w:sz w:val="14"/>
                <w:szCs w:val="14"/>
              </w:rPr>
              <w:t>　　课题承接人接到《立项通知书》或课题委托通知后，应当按要求填报《上海市人民政府决策咨询研究项目计划任务书》（以下简称《计划任务书》）</w:t>
            </w:r>
            <w:r>
              <w:rPr>
                <w:color w:val="C00000"/>
                <w:sz w:val="14"/>
                <w:szCs w:val="14"/>
              </w:rPr>
              <w:t>。《计划任务书》包括：课题名称、课题承接人、课题组成员基本情况、课题研究主要内容及进度安排初步设想、著作权归属、经费来源及支出预算等内容。《计划任务书》作为项目实施、工作检查、结项验收的依据。</w:t>
            </w:r>
          </w:p>
          <w:p>
            <w:pPr>
              <w:pStyle w:val="2"/>
              <w:keepNext w:val="0"/>
              <w:keepLines w:val="0"/>
              <w:widowControl/>
              <w:suppressLineNumbers w:val="0"/>
            </w:pPr>
            <w:r>
              <w:rPr>
                <w:sz w:val="14"/>
                <w:szCs w:val="14"/>
              </w:rPr>
              <w:t>　　课题承接人填报的《计划任务书》经中心批准确认，予以立项。</w:t>
            </w:r>
          </w:p>
          <w:p>
            <w:pPr>
              <w:pStyle w:val="2"/>
              <w:keepNext w:val="0"/>
              <w:keepLines w:val="0"/>
              <w:widowControl/>
              <w:suppressLineNumbers w:val="0"/>
            </w:pPr>
            <w:r>
              <w:rPr>
                <w:sz w:val="14"/>
                <w:szCs w:val="14"/>
              </w:rPr>
              <w:t>　　第十八条（课题开题）</w:t>
            </w:r>
          </w:p>
          <w:p>
            <w:pPr>
              <w:pStyle w:val="2"/>
              <w:keepNext w:val="0"/>
              <w:keepLines w:val="0"/>
              <w:widowControl/>
              <w:suppressLineNumbers w:val="0"/>
            </w:pPr>
            <w:r>
              <w:rPr>
                <w:sz w:val="14"/>
                <w:szCs w:val="14"/>
              </w:rPr>
              <w:t>　　重点课题正式立项后，中心安排重点课题开题会，确定课题的研究方向和基本框架，并与课题承接人约定提交相关研究材料的具体时间。其他课题，由课题承接人确定开题会事宜。</w:t>
            </w:r>
          </w:p>
          <w:p>
            <w:pPr>
              <w:pStyle w:val="2"/>
              <w:keepNext w:val="0"/>
              <w:keepLines w:val="0"/>
              <w:widowControl/>
              <w:suppressLineNumbers w:val="0"/>
            </w:pPr>
            <w:r>
              <w:rPr>
                <w:sz w:val="14"/>
                <w:szCs w:val="14"/>
              </w:rPr>
              <w:t>　　第十九条（承接人义务）</w:t>
            </w:r>
          </w:p>
          <w:p>
            <w:pPr>
              <w:pStyle w:val="2"/>
              <w:keepNext w:val="0"/>
              <w:keepLines w:val="0"/>
              <w:widowControl/>
              <w:suppressLineNumbers w:val="0"/>
            </w:pPr>
            <w:r>
              <w:rPr>
                <w:sz w:val="14"/>
                <w:szCs w:val="14"/>
              </w:rPr>
              <w:t>　　课题承接人应当按《计划任务书》的相关要求，开展课题研究工作。</w:t>
            </w:r>
          </w:p>
          <w:p>
            <w:pPr>
              <w:pStyle w:val="2"/>
              <w:keepNext w:val="0"/>
              <w:keepLines w:val="0"/>
              <w:widowControl/>
              <w:suppressLineNumbers w:val="0"/>
            </w:pPr>
            <w:r>
              <w:rPr>
                <w:sz w:val="14"/>
                <w:szCs w:val="14"/>
              </w:rPr>
              <w:t>　　课题承接人应当在约定时间内，向中心提交详细研究提纲和具体实施计划；在研究中期提交中期研究成果或最新观点材料；在研究期末提交课题研究报告及成果摘要。</w:t>
            </w:r>
          </w:p>
          <w:p>
            <w:pPr>
              <w:pStyle w:val="2"/>
              <w:keepNext w:val="0"/>
              <w:keepLines w:val="0"/>
              <w:widowControl/>
              <w:suppressLineNumbers w:val="0"/>
            </w:pPr>
            <w:r>
              <w:rPr>
                <w:sz w:val="14"/>
                <w:szCs w:val="14"/>
              </w:rPr>
              <w:t>　　课题内容需要保密的，课题承接人应当遵守保密要求，不得以公开发表论文、出版著作、讲学、互联网上发布相关信息等方式向外披露。</w:t>
            </w:r>
          </w:p>
          <w:p>
            <w:pPr>
              <w:pStyle w:val="2"/>
              <w:keepNext w:val="0"/>
              <w:keepLines w:val="0"/>
              <w:widowControl/>
              <w:suppressLineNumbers w:val="0"/>
            </w:pPr>
            <w:r>
              <w:rPr>
                <w:sz w:val="14"/>
                <w:szCs w:val="14"/>
              </w:rPr>
              <w:t>　　第二十条（中期交流）</w:t>
            </w:r>
          </w:p>
          <w:p>
            <w:pPr>
              <w:pStyle w:val="2"/>
              <w:keepNext w:val="0"/>
              <w:keepLines w:val="0"/>
              <w:widowControl/>
              <w:suppressLineNumbers w:val="0"/>
            </w:pPr>
            <w:r>
              <w:rPr>
                <w:sz w:val="14"/>
                <w:szCs w:val="14"/>
              </w:rPr>
              <w:t>　　重点课题承接人提交中期研究成果后，由中心组织中期交流会，提出课题修改完善的意见和建议。其他课题由承接人安排中期交流会事宜。</w:t>
            </w:r>
          </w:p>
          <w:p>
            <w:pPr>
              <w:pStyle w:val="2"/>
              <w:keepNext w:val="0"/>
              <w:keepLines w:val="0"/>
              <w:widowControl/>
              <w:suppressLineNumbers w:val="0"/>
            </w:pPr>
            <w:r>
              <w:rPr>
                <w:sz w:val="14"/>
                <w:szCs w:val="14"/>
              </w:rPr>
              <w:t>　　第二十一条（课题终止）</w:t>
            </w:r>
          </w:p>
          <w:p>
            <w:pPr>
              <w:pStyle w:val="2"/>
              <w:keepNext w:val="0"/>
              <w:keepLines w:val="0"/>
              <w:widowControl/>
              <w:suppressLineNumbers w:val="0"/>
            </w:pPr>
            <w:r>
              <w:rPr>
                <w:sz w:val="14"/>
                <w:szCs w:val="14"/>
              </w:rPr>
              <w:t>　　课题存在下列情形之一的，经中心审核同意后，对该课题予以终止：</w:t>
            </w:r>
          </w:p>
          <w:p>
            <w:pPr>
              <w:pStyle w:val="2"/>
              <w:keepNext w:val="0"/>
              <w:keepLines w:val="0"/>
              <w:widowControl/>
              <w:suppressLineNumbers w:val="0"/>
            </w:pPr>
            <w:r>
              <w:rPr>
                <w:sz w:val="14"/>
                <w:szCs w:val="14"/>
              </w:rPr>
              <w:t>　　（一）因情势变更，课题研究已无必要的；</w:t>
            </w:r>
          </w:p>
          <w:p>
            <w:pPr>
              <w:pStyle w:val="2"/>
              <w:keepNext w:val="0"/>
              <w:keepLines w:val="0"/>
              <w:widowControl/>
              <w:suppressLineNumbers w:val="0"/>
            </w:pPr>
            <w:r>
              <w:rPr>
                <w:sz w:val="14"/>
                <w:szCs w:val="14"/>
              </w:rPr>
              <w:t>　　（二）因课题承接人的个人原因，不能继续开展课题研究的；</w:t>
            </w:r>
          </w:p>
          <w:p>
            <w:pPr>
              <w:pStyle w:val="2"/>
              <w:keepNext w:val="0"/>
              <w:keepLines w:val="0"/>
              <w:widowControl/>
              <w:suppressLineNumbers w:val="0"/>
            </w:pPr>
            <w:r>
              <w:rPr>
                <w:sz w:val="14"/>
                <w:szCs w:val="14"/>
              </w:rPr>
              <w:t>　　（三）其他需要终止的情形。</w:t>
            </w:r>
          </w:p>
          <w:p>
            <w:pPr>
              <w:pStyle w:val="2"/>
              <w:keepNext w:val="0"/>
              <w:keepLines w:val="0"/>
              <w:widowControl/>
              <w:suppressLineNumbers w:val="0"/>
            </w:pPr>
            <w:r>
              <w:rPr>
                <w:sz w:val="14"/>
                <w:szCs w:val="14"/>
              </w:rPr>
              <w:t>　　课题终止的，应当由中心或课题承接人作出相关说明。</w:t>
            </w:r>
          </w:p>
          <w:p>
            <w:pPr>
              <w:pStyle w:val="2"/>
              <w:keepNext w:val="0"/>
              <w:keepLines w:val="0"/>
              <w:widowControl/>
              <w:suppressLineNumbers w:val="0"/>
            </w:pPr>
            <w:r>
              <w:rPr>
                <w:sz w:val="14"/>
                <w:szCs w:val="14"/>
              </w:rPr>
              <w:t>　　第二十二条（课题成果评审、认定）</w:t>
            </w:r>
          </w:p>
          <w:p>
            <w:pPr>
              <w:pStyle w:val="2"/>
              <w:keepNext w:val="0"/>
              <w:keepLines w:val="0"/>
              <w:widowControl/>
              <w:suppressLineNumbers w:val="0"/>
            </w:pPr>
            <w:r>
              <w:rPr>
                <w:sz w:val="14"/>
                <w:szCs w:val="14"/>
              </w:rPr>
              <w:t>　　重点课题承接人提交课题最终研究报告后，中心组织专家进行课题成果评审。评审采用双向匿名评分与专家评议相结合的方法，形成书面评审意见，并由评审专家签字确认。评审结果包括优秀、良好、一般、不合格四类。</w:t>
            </w:r>
          </w:p>
          <w:p>
            <w:pPr>
              <w:pStyle w:val="2"/>
              <w:keepNext w:val="0"/>
              <w:keepLines w:val="0"/>
              <w:widowControl/>
              <w:suppressLineNumbers w:val="0"/>
            </w:pPr>
            <w:r>
              <w:rPr>
                <w:sz w:val="14"/>
                <w:szCs w:val="14"/>
              </w:rPr>
              <w:t>　　重点专项、一般专项课题成果是否通过，由中心进行认定。</w:t>
            </w:r>
          </w:p>
          <w:p>
            <w:pPr>
              <w:pStyle w:val="2"/>
              <w:keepNext w:val="0"/>
              <w:keepLines w:val="0"/>
              <w:widowControl/>
              <w:suppressLineNumbers w:val="0"/>
            </w:pPr>
            <w:r>
              <w:rPr>
                <w:sz w:val="14"/>
                <w:szCs w:val="14"/>
              </w:rPr>
              <w:t>　　第二十三条（课题结题）</w:t>
            </w:r>
          </w:p>
          <w:p>
            <w:pPr>
              <w:pStyle w:val="2"/>
              <w:keepNext w:val="0"/>
              <w:keepLines w:val="0"/>
              <w:widowControl/>
              <w:suppressLineNumbers w:val="0"/>
            </w:pPr>
            <w:r>
              <w:rPr>
                <w:sz w:val="14"/>
                <w:szCs w:val="14"/>
              </w:rPr>
              <w:t>　　课题成果通过评审或者认定的，由中心颁发结题证书。</w:t>
            </w:r>
          </w:p>
          <w:p>
            <w:pPr>
              <w:pStyle w:val="2"/>
              <w:keepNext w:val="0"/>
              <w:keepLines w:val="0"/>
              <w:widowControl/>
              <w:suppressLineNumbers w:val="0"/>
            </w:pPr>
            <w:r>
              <w:rPr>
                <w:sz w:val="14"/>
                <w:szCs w:val="14"/>
              </w:rPr>
              <w:t>　　第二十四条（课题撤项）</w:t>
            </w:r>
          </w:p>
          <w:p>
            <w:pPr>
              <w:pStyle w:val="2"/>
              <w:keepNext w:val="0"/>
              <w:keepLines w:val="0"/>
              <w:widowControl/>
              <w:suppressLineNumbers w:val="0"/>
            </w:pPr>
            <w:r>
              <w:rPr>
                <w:sz w:val="14"/>
                <w:szCs w:val="14"/>
              </w:rPr>
              <w:t>　　课题存在下列情形之一的，经中心审核同意后，对该课题予以撤项：</w:t>
            </w:r>
          </w:p>
          <w:p>
            <w:pPr>
              <w:pStyle w:val="2"/>
              <w:keepNext w:val="0"/>
              <w:keepLines w:val="0"/>
              <w:widowControl/>
              <w:suppressLineNumbers w:val="0"/>
            </w:pPr>
            <w:r>
              <w:rPr>
                <w:sz w:val="14"/>
                <w:szCs w:val="14"/>
              </w:rPr>
              <w:t>　　（一）研究成果不符合《招标通知》《招标指南》或委托立项要求，经修改调整后仍不符合课题研究要求的；</w:t>
            </w:r>
          </w:p>
          <w:p>
            <w:pPr>
              <w:pStyle w:val="2"/>
              <w:keepNext w:val="0"/>
              <w:keepLines w:val="0"/>
              <w:widowControl/>
              <w:suppressLineNumbers w:val="0"/>
            </w:pPr>
            <w:r>
              <w:rPr>
                <w:sz w:val="14"/>
                <w:szCs w:val="14"/>
              </w:rPr>
              <w:t>　　（二）剽窃他人研究成果的；</w:t>
            </w:r>
          </w:p>
          <w:p>
            <w:pPr>
              <w:pStyle w:val="2"/>
              <w:keepNext w:val="0"/>
              <w:keepLines w:val="0"/>
              <w:widowControl/>
              <w:suppressLineNumbers w:val="0"/>
            </w:pPr>
            <w:r>
              <w:rPr>
                <w:sz w:val="14"/>
                <w:szCs w:val="14"/>
              </w:rPr>
              <w:t>　　（三）严重违反财务制度的；</w:t>
            </w:r>
          </w:p>
          <w:p>
            <w:pPr>
              <w:pStyle w:val="2"/>
              <w:keepNext w:val="0"/>
              <w:keepLines w:val="0"/>
              <w:widowControl/>
              <w:suppressLineNumbers w:val="0"/>
            </w:pPr>
            <w:r>
              <w:rPr>
                <w:sz w:val="14"/>
                <w:szCs w:val="14"/>
              </w:rPr>
              <w:t>　　（四）其他需要撤销的情形。</w:t>
            </w:r>
          </w:p>
          <w:p>
            <w:pPr>
              <w:pStyle w:val="2"/>
              <w:keepNext w:val="0"/>
              <w:keepLines w:val="0"/>
              <w:widowControl/>
              <w:suppressLineNumbers w:val="0"/>
            </w:pPr>
            <w:r>
              <w:rPr>
                <w:sz w:val="14"/>
                <w:szCs w:val="14"/>
              </w:rPr>
              <w:t>　　课题撤项的，应当通知课题承接人，并在中心网站予以公布。因课题承接人的过错撤销课题的，课题承接人第二年不得申报、承接课题。</w:t>
            </w:r>
          </w:p>
          <w:p>
            <w:pPr>
              <w:pStyle w:val="2"/>
              <w:keepNext w:val="0"/>
              <w:keepLines w:val="0"/>
              <w:widowControl/>
              <w:suppressLineNumbers w:val="0"/>
            </w:pPr>
            <w:r>
              <w:rPr>
                <w:sz w:val="14"/>
                <w:szCs w:val="14"/>
              </w:rPr>
              <w:t>　　第五章成果管理</w:t>
            </w:r>
          </w:p>
          <w:p>
            <w:pPr>
              <w:pStyle w:val="2"/>
              <w:keepNext w:val="0"/>
              <w:keepLines w:val="0"/>
              <w:widowControl/>
              <w:suppressLineNumbers w:val="0"/>
            </w:pPr>
            <w:r>
              <w:rPr>
                <w:sz w:val="14"/>
                <w:szCs w:val="14"/>
              </w:rPr>
              <w:t>　　第二十五条（成果权属确定）</w:t>
            </w:r>
          </w:p>
          <w:p>
            <w:pPr>
              <w:pStyle w:val="2"/>
              <w:keepNext w:val="0"/>
              <w:keepLines w:val="0"/>
              <w:widowControl/>
              <w:suppressLineNumbers w:val="0"/>
            </w:pPr>
            <w:r>
              <w:rPr>
                <w:sz w:val="14"/>
                <w:szCs w:val="14"/>
              </w:rPr>
              <w:t>　　课题研究成果的著作权，归属中心和课题承接人共有。</w:t>
            </w:r>
          </w:p>
          <w:p>
            <w:pPr>
              <w:pStyle w:val="2"/>
              <w:keepNext w:val="0"/>
              <w:keepLines w:val="0"/>
              <w:widowControl/>
              <w:suppressLineNumbers w:val="0"/>
            </w:pPr>
            <w:r>
              <w:rPr>
                <w:sz w:val="14"/>
                <w:szCs w:val="14"/>
              </w:rPr>
              <w:t>　　第二十六条（成果应用）</w:t>
            </w:r>
          </w:p>
          <w:p>
            <w:pPr>
              <w:pStyle w:val="2"/>
              <w:keepNext w:val="0"/>
              <w:keepLines w:val="0"/>
              <w:widowControl/>
              <w:suppressLineNumbers w:val="0"/>
            </w:pPr>
            <w:r>
              <w:rPr>
                <w:sz w:val="14"/>
                <w:szCs w:val="14"/>
              </w:rPr>
              <w:t>　　课题研究成果由中心统一报送市领导，提供决策咨询参考。</w:t>
            </w:r>
          </w:p>
          <w:p>
            <w:pPr>
              <w:pStyle w:val="2"/>
              <w:keepNext w:val="0"/>
              <w:keepLines w:val="0"/>
              <w:widowControl/>
              <w:suppressLineNumbers w:val="0"/>
            </w:pPr>
            <w:r>
              <w:rPr>
                <w:sz w:val="14"/>
                <w:szCs w:val="14"/>
              </w:rPr>
              <w:t>　　第二十七条（发表要求）</w:t>
            </w:r>
          </w:p>
          <w:p>
            <w:pPr>
              <w:pStyle w:val="2"/>
              <w:keepNext w:val="0"/>
              <w:keepLines w:val="0"/>
              <w:widowControl/>
              <w:suppressLineNumbers w:val="0"/>
            </w:pPr>
            <w:r>
              <w:rPr>
                <w:sz w:val="14"/>
                <w:szCs w:val="14"/>
              </w:rPr>
              <w:t>　　研究成果未经结题，不得以立项课题名义公开发表。</w:t>
            </w:r>
          </w:p>
          <w:p>
            <w:pPr>
              <w:pStyle w:val="2"/>
              <w:keepNext w:val="0"/>
              <w:keepLines w:val="0"/>
              <w:widowControl/>
              <w:suppressLineNumbers w:val="0"/>
            </w:pPr>
            <w:r>
              <w:rPr>
                <w:sz w:val="14"/>
                <w:szCs w:val="14"/>
              </w:rPr>
              <w:t>　　未经中心同意，课题承接人在课题结题后一年内，不得将成果提供给有关方面出版、发表。</w:t>
            </w:r>
          </w:p>
          <w:p>
            <w:pPr>
              <w:pStyle w:val="2"/>
              <w:keepNext w:val="0"/>
              <w:keepLines w:val="0"/>
              <w:widowControl/>
              <w:suppressLineNumbers w:val="0"/>
            </w:pPr>
            <w:r>
              <w:rPr>
                <w:sz w:val="14"/>
                <w:szCs w:val="14"/>
              </w:rPr>
              <w:t>　　课题成果需要正式出版、发表或者内部刊用的，应当标明“上海市人民政府决策咨询课题研究成果”字样。</w:t>
            </w:r>
          </w:p>
          <w:p>
            <w:pPr>
              <w:pStyle w:val="2"/>
              <w:keepNext w:val="0"/>
              <w:keepLines w:val="0"/>
              <w:widowControl/>
              <w:suppressLineNumbers w:val="0"/>
            </w:pPr>
            <w:r>
              <w:rPr>
                <w:sz w:val="14"/>
                <w:szCs w:val="14"/>
              </w:rPr>
              <w:t>　　第六章经费管理</w:t>
            </w:r>
          </w:p>
          <w:p>
            <w:pPr>
              <w:pStyle w:val="2"/>
              <w:keepNext w:val="0"/>
              <w:keepLines w:val="0"/>
              <w:widowControl/>
              <w:suppressLineNumbers w:val="0"/>
            </w:pPr>
            <w:r>
              <w:rPr>
                <w:sz w:val="14"/>
                <w:szCs w:val="14"/>
              </w:rPr>
              <w:t>　　第二十八条（经费资助）</w:t>
            </w:r>
          </w:p>
          <w:p>
            <w:pPr>
              <w:pStyle w:val="2"/>
              <w:keepNext w:val="0"/>
              <w:keepLines w:val="0"/>
              <w:widowControl/>
              <w:suppressLineNumbers w:val="0"/>
            </w:pPr>
            <w:r>
              <w:rPr>
                <w:sz w:val="14"/>
                <w:szCs w:val="14"/>
              </w:rPr>
              <w:t>　　课题一般由中心给予经费资助，资助额度根据课题情况确定。研究经费的具体拨付方式，由中心与课题承接人约定。</w:t>
            </w:r>
          </w:p>
          <w:p>
            <w:pPr>
              <w:pStyle w:val="2"/>
              <w:keepNext w:val="0"/>
              <w:keepLines w:val="0"/>
              <w:widowControl/>
              <w:suppressLineNumbers w:val="0"/>
              <w:rPr>
                <w:color w:val="C00000"/>
              </w:rPr>
            </w:pPr>
            <w:r>
              <w:rPr>
                <w:sz w:val="14"/>
                <w:szCs w:val="14"/>
              </w:rPr>
              <w:t>　　</w:t>
            </w:r>
            <w:r>
              <w:rPr>
                <w:color w:val="C00000"/>
                <w:sz w:val="14"/>
                <w:szCs w:val="14"/>
              </w:rPr>
              <w:t>第二十九条（经费使用要求）</w:t>
            </w:r>
          </w:p>
          <w:p>
            <w:pPr>
              <w:pStyle w:val="2"/>
              <w:keepNext w:val="0"/>
              <w:keepLines w:val="0"/>
              <w:widowControl/>
              <w:suppressLineNumbers w:val="0"/>
              <w:rPr>
                <w:color w:val="C00000"/>
              </w:rPr>
            </w:pPr>
            <w:r>
              <w:rPr>
                <w:color w:val="C00000"/>
                <w:sz w:val="14"/>
                <w:szCs w:val="14"/>
              </w:rPr>
              <w:t>　　课题承接人所在单位或者中心与课题承接人约定的经费代管单位，应当加强研究经费的财务管理，严格执行国家和本市有关法律、法规及相关财务制度规定。课题经费应当实行专款专用。</w:t>
            </w:r>
            <w:bookmarkStart w:id="0" w:name="_GoBack"/>
            <w:bookmarkEnd w:id="0"/>
          </w:p>
          <w:p>
            <w:pPr>
              <w:pStyle w:val="2"/>
              <w:keepNext w:val="0"/>
              <w:keepLines w:val="0"/>
              <w:widowControl/>
              <w:suppressLineNumbers w:val="0"/>
            </w:pPr>
            <w:r>
              <w:rPr>
                <w:sz w:val="14"/>
                <w:szCs w:val="14"/>
              </w:rPr>
              <w:t>　　第三十条（经费缓拨与停拨）</w:t>
            </w:r>
          </w:p>
          <w:p>
            <w:pPr>
              <w:pStyle w:val="2"/>
              <w:keepNext w:val="0"/>
              <w:keepLines w:val="0"/>
              <w:widowControl/>
              <w:suppressLineNumbers w:val="0"/>
            </w:pPr>
            <w:r>
              <w:rPr>
                <w:sz w:val="14"/>
                <w:szCs w:val="14"/>
              </w:rPr>
              <w:t>　　课题承接人未按计划进度完成研究任务或提交的研究成果未获通过的，缓拨或停拨资助经费；课题终止的，停拨资助经费余款；课题撤项的，撤销全部经费资助，并追回已拨经费。</w:t>
            </w:r>
          </w:p>
          <w:p>
            <w:pPr>
              <w:pStyle w:val="2"/>
              <w:keepNext w:val="0"/>
              <w:keepLines w:val="0"/>
              <w:widowControl/>
              <w:suppressLineNumbers w:val="0"/>
            </w:pPr>
            <w:r>
              <w:rPr>
                <w:sz w:val="14"/>
                <w:szCs w:val="14"/>
              </w:rPr>
              <w:t>　　第七章附则</w:t>
            </w:r>
          </w:p>
          <w:p>
            <w:pPr>
              <w:pStyle w:val="2"/>
              <w:keepNext w:val="0"/>
              <w:keepLines w:val="0"/>
              <w:widowControl/>
              <w:suppressLineNumbers w:val="0"/>
            </w:pPr>
            <w:r>
              <w:rPr>
                <w:sz w:val="14"/>
                <w:szCs w:val="14"/>
              </w:rPr>
              <w:t>　　第三十一条（购买成果）</w:t>
            </w:r>
          </w:p>
          <w:p>
            <w:pPr>
              <w:pStyle w:val="2"/>
              <w:keepNext w:val="0"/>
              <w:keepLines w:val="0"/>
              <w:widowControl/>
              <w:suppressLineNumbers w:val="0"/>
            </w:pPr>
            <w:r>
              <w:rPr>
                <w:sz w:val="14"/>
                <w:szCs w:val="14"/>
              </w:rPr>
              <w:t>　　对于社会现有研究成果资源，中心可以根据课题研究需要，向有关单位和个人购买符合需求的决策咨询研究成果。对拟购买的研究成果可以组织专家评审，并与研究成果所有权人商定成果成交价，签订购买成果合同。</w:t>
            </w:r>
          </w:p>
          <w:p>
            <w:pPr>
              <w:pStyle w:val="2"/>
              <w:keepNext w:val="0"/>
              <w:keepLines w:val="0"/>
              <w:widowControl/>
              <w:suppressLineNumbers w:val="0"/>
            </w:pPr>
            <w:r>
              <w:rPr>
                <w:sz w:val="14"/>
                <w:szCs w:val="14"/>
              </w:rPr>
              <w:t>　　购买的研究成果，由中心按统一要求进行成果转化工作。</w:t>
            </w:r>
          </w:p>
          <w:p>
            <w:pPr>
              <w:pStyle w:val="2"/>
              <w:keepNext w:val="0"/>
              <w:keepLines w:val="0"/>
              <w:widowControl/>
              <w:suppressLineNumbers w:val="0"/>
            </w:pPr>
            <w:r>
              <w:rPr>
                <w:sz w:val="14"/>
                <w:szCs w:val="14"/>
              </w:rPr>
              <w:t>　　第三十二条（归档）</w:t>
            </w:r>
          </w:p>
          <w:p>
            <w:pPr>
              <w:pStyle w:val="2"/>
              <w:keepNext w:val="0"/>
              <w:keepLines w:val="0"/>
              <w:widowControl/>
              <w:suppressLineNumbers w:val="0"/>
            </w:pPr>
            <w:r>
              <w:rPr>
                <w:sz w:val="14"/>
                <w:szCs w:val="14"/>
              </w:rPr>
              <w:t>　　本办法中各类课题申报、评审、委托及研究成果等资料，由中心统一归档。</w:t>
            </w:r>
          </w:p>
          <w:p>
            <w:pPr>
              <w:pStyle w:val="2"/>
              <w:keepNext w:val="0"/>
              <w:keepLines w:val="0"/>
              <w:widowControl/>
              <w:suppressLineNumbers w:val="0"/>
            </w:pPr>
            <w:r>
              <w:rPr>
                <w:sz w:val="14"/>
                <w:szCs w:val="14"/>
              </w:rPr>
              <w:t>　　第三十三条（施行日期）</w:t>
            </w:r>
          </w:p>
          <w:p>
            <w:pPr>
              <w:pStyle w:val="2"/>
              <w:keepNext w:val="0"/>
              <w:keepLines w:val="0"/>
              <w:widowControl/>
              <w:suppressLineNumbers w:val="0"/>
            </w:pPr>
            <w:r>
              <w:rPr>
                <w:sz w:val="14"/>
                <w:szCs w:val="14"/>
              </w:rPr>
              <w:t>　　本办法自2016年2月1日起执行，有效期至2020年12月31日。</w:t>
            </w:r>
          </w:p>
          <w:p>
            <w:pPr>
              <w:pStyle w:val="2"/>
              <w:keepNext w:val="0"/>
              <w:keepLines w:val="0"/>
              <w:widowControl/>
              <w:suppressLineNumbers w:val="0"/>
              <w:jc w:val="right"/>
            </w:pPr>
            <w:r>
              <w:rPr>
                <w:sz w:val="14"/>
                <w:szCs w:val="14"/>
              </w:rPr>
              <w:t>　　上海市人民政府发展研究中心</w:t>
            </w:r>
          </w:p>
          <w:p>
            <w:pPr>
              <w:pStyle w:val="2"/>
              <w:keepNext w:val="0"/>
              <w:keepLines w:val="0"/>
              <w:widowControl/>
              <w:suppressLineNumbers w:val="0"/>
              <w:jc w:val="right"/>
            </w:pPr>
            <w:r>
              <w:rPr>
                <w:sz w:val="14"/>
                <w:szCs w:val="14"/>
              </w:rPr>
              <w:t>　　2016年1月12日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E1025"/>
    <w:rsid w:val="27560709"/>
    <w:rsid w:val="337E10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 w:type="character" w:customStyle="1" w:styleId="7">
    <w:name w:val="link-01t1"/>
    <w:basedOn w:val="3"/>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2016-06-07T07:16:00Z</dcterms:created>
  <dc:creator>zg</dc:creator>
  <cp:lastModifiedBy>zg</cp:lastModifiedBy>
  <dcterms:modified xsi:type="dcterms:W3CDTF">2016-06-07T07:19:03Z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