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00" w:type="dxa"/>
        <w:jc w:val="center"/>
        <w:tblCellSpacing w:w="0" w:type="dxa"/>
        <w:shd w:val="clear" w:color="auto" w:fill="FFFFFF"/>
        <w:tblCellMar>
          <w:left w:w="0" w:type="dxa"/>
          <w:right w:w="0" w:type="dxa"/>
        </w:tblCellMar>
        <w:tblLook w:val="04A0"/>
      </w:tblPr>
      <w:tblGrid>
        <w:gridCol w:w="14700"/>
      </w:tblGrid>
      <w:tr w:rsidR="00D315A9" w:rsidRPr="00D315A9">
        <w:trPr>
          <w:trHeight w:val="660"/>
          <w:tblCellSpacing w:w="0" w:type="dxa"/>
          <w:jc w:val="center"/>
        </w:trPr>
        <w:tc>
          <w:tcPr>
            <w:tcW w:w="0" w:type="auto"/>
            <w:shd w:val="clear" w:color="auto" w:fill="FFFFFF"/>
            <w:vAlign w:val="center"/>
            <w:hideMark/>
          </w:tcPr>
          <w:p w:rsidR="00D315A9" w:rsidRPr="00D315A9" w:rsidRDefault="00D315A9" w:rsidP="00D315A9">
            <w:pPr>
              <w:widowControl/>
              <w:jc w:val="center"/>
              <w:rPr>
                <w:rFonts w:ascii="宋体" w:eastAsia="宋体" w:hAnsi="宋体" w:cs="宋体"/>
                <w:b/>
                <w:bCs/>
                <w:kern w:val="0"/>
                <w:sz w:val="28"/>
                <w:szCs w:val="28"/>
              </w:rPr>
            </w:pPr>
            <w:r w:rsidRPr="00D315A9">
              <w:rPr>
                <w:rFonts w:ascii="宋体" w:eastAsia="宋体" w:hAnsi="宋体" w:cs="宋体"/>
                <w:b/>
                <w:bCs/>
                <w:kern w:val="0"/>
                <w:sz w:val="28"/>
              </w:rPr>
              <w:t>上海市晨光计划管理办法</w:t>
            </w:r>
            <w:r w:rsidRPr="00D315A9">
              <w:rPr>
                <w:rFonts w:ascii="宋体" w:eastAsia="宋体" w:hAnsi="宋体" w:cs="宋体"/>
                <w:b/>
                <w:bCs/>
                <w:kern w:val="0"/>
                <w:sz w:val="28"/>
                <w:szCs w:val="28"/>
              </w:rPr>
              <w:t xml:space="preserve"> </w:t>
            </w:r>
          </w:p>
        </w:tc>
      </w:tr>
      <w:tr w:rsidR="00D315A9" w:rsidRPr="00D315A9">
        <w:trPr>
          <w:trHeight w:val="30"/>
          <w:tblCellSpacing w:w="0" w:type="dxa"/>
          <w:jc w:val="center"/>
        </w:trPr>
        <w:tc>
          <w:tcPr>
            <w:tcW w:w="0" w:type="auto"/>
            <w:shd w:val="clear" w:color="auto" w:fill="FFFFFF"/>
            <w:vAlign w:val="center"/>
            <w:hideMark/>
          </w:tcPr>
          <w:p w:rsidR="00D315A9" w:rsidRPr="00D315A9" w:rsidRDefault="00D315A9" w:rsidP="00D315A9">
            <w:pPr>
              <w:widowControl/>
              <w:jc w:val="left"/>
              <w:rPr>
                <w:rFonts w:ascii="宋体" w:eastAsia="宋体" w:hAnsi="宋体" w:cs="宋体"/>
                <w:kern w:val="0"/>
                <w:sz w:val="4"/>
                <w:szCs w:val="18"/>
              </w:rPr>
            </w:pPr>
          </w:p>
        </w:tc>
      </w:tr>
      <w:tr w:rsidR="00D315A9" w:rsidRPr="00D315A9">
        <w:trPr>
          <w:tblCellSpacing w:w="0" w:type="dxa"/>
          <w:jc w:val="center"/>
        </w:trPr>
        <w:tc>
          <w:tcPr>
            <w:tcW w:w="0" w:type="auto"/>
            <w:shd w:val="clear" w:color="auto" w:fill="FAFAFA"/>
            <w:hideMark/>
          </w:tcPr>
          <w:tbl>
            <w:tblPr>
              <w:tblW w:w="5000" w:type="pct"/>
              <w:tblCellSpacing w:w="0" w:type="dxa"/>
              <w:tblCellMar>
                <w:left w:w="0" w:type="dxa"/>
                <w:right w:w="0" w:type="dxa"/>
              </w:tblCellMar>
              <w:tblLook w:val="04A0"/>
            </w:tblPr>
            <w:tblGrid>
              <w:gridCol w:w="14700"/>
            </w:tblGrid>
            <w:tr w:rsidR="00D315A9" w:rsidRPr="00D315A9">
              <w:trPr>
                <w:trHeight w:val="75"/>
                <w:tblCellSpacing w:w="0" w:type="dxa"/>
              </w:trPr>
              <w:tc>
                <w:tcPr>
                  <w:tcW w:w="0" w:type="auto"/>
                  <w:hideMark/>
                </w:tcPr>
                <w:tbl>
                  <w:tblPr>
                    <w:tblW w:w="4750" w:type="pct"/>
                    <w:jc w:val="center"/>
                    <w:tblCellSpacing w:w="67" w:type="dxa"/>
                    <w:tblCellMar>
                      <w:left w:w="0" w:type="dxa"/>
                      <w:right w:w="0" w:type="dxa"/>
                    </w:tblCellMar>
                    <w:tblLook w:val="04A0"/>
                  </w:tblPr>
                  <w:tblGrid>
                    <w:gridCol w:w="13965"/>
                  </w:tblGrid>
                  <w:tr w:rsidR="00D315A9" w:rsidRPr="00D315A9">
                    <w:trPr>
                      <w:tblCellSpacing w:w="67" w:type="dxa"/>
                      <w:jc w:val="center"/>
                    </w:trPr>
                    <w:tc>
                      <w:tcPr>
                        <w:tcW w:w="0" w:type="auto"/>
                        <w:vAlign w:val="center"/>
                        <w:hideMark/>
                      </w:tcPr>
                      <w:p w:rsidR="00D315A9" w:rsidRPr="00D315A9" w:rsidRDefault="00D315A9" w:rsidP="00D315A9">
                        <w:pPr>
                          <w:widowControl/>
                          <w:jc w:val="center"/>
                          <w:rPr>
                            <w:rFonts w:ascii="宋体" w:eastAsia="宋体" w:hAnsi="宋体" w:cs="宋体"/>
                            <w:kern w:val="0"/>
                            <w:sz w:val="18"/>
                            <w:szCs w:val="18"/>
                          </w:rPr>
                        </w:pPr>
                        <w:r w:rsidRPr="00D315A9">
                          <w:rPr>
                            <w:rFonts w:ascii="宋体" w:eastAsia="宋体" w:hAnsi="宋体" w:cs="宋体"/>
                            <w:kern w:val="0"/>
                            <w:sz w:val="18"/>
                          </w:rPr>
                          <w:t xml:space="preserve">发布时间: 2009-05-07 </w:t>
                        </w:r>
                        <w:r w:rsidRPr="00D315A9">
                          <w:rPr>
                            <w:rFonts w:ascii="宋体" w:eastAsia="宋体" w:hAnsi="宋体" w:cs="宋体"/>
                            <w:kern w:val="0"/>
                            <w:sz w:val="18"/>
                            <w:szCs w:val="18"/>
                          </w:rPr>
                          <w:t xml:space="preserve">　　浏览次数: </w:t>
                        </w:r>
                        <w:r>
                          <w:rPr>
                            <w:rFonts w:ascii="宋体" w:eastAsia="宋体" w:hAnsi="宋体" w:cs="宋体"/>
                            <w:noProof/>
                            <w:kern w:val="0"/>
                            <w:sz w:val="18"/>
                            <w:szCs w:val="18"/>
                          </w:rPr>
                          <w:drawing>
                            <wp:inline distT="0" distB="0" distL="0" distR="0">
                              <wp:extent cx="228600" cy="133350"/>
                              <wp:effectExtent l="19050" t="0" r="0" b="0"/>
                              <wp:docPr id="1" name="图片 1" descr="http://wkkyc.fudan.edu.cn/_visitcountdisplay?siteId=60&amp;type=3&amp;articleId=5817&amp;dispMo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kkyc.fudan.edu.cn/_visitcountdisplay?siteId=60&amp;type=3&amp;articleId=5817&amp;dispMode=2"/>
                                      <pic:cNvPicPr>
                                        <a:picLocks noChangeAspect="1" noChangeArrowheads="1"/>
                                      </pic:cNvPicPr>
                                    </pic:nvPicPr>
                                    <pic:blipFill>
                                      <a:blip r:embed="rId4"/>
                                      <a:srcRect/>
                                      <a:stretch>
                                        <a:fillRect/>
                                      </a:stretch>
                                    </pic:blipFill>
                                    <pic:spPr bwMode="auto">
                                      <a:xfrm>
                                        <a:off x="0" y="0"/>
                                        <a:ext cx="228600" cy="133350"/>
                                      </a:xfrm>
                                      <a:prstGeom prst="rect">
                                        <a:avLst/>
                                      </a:prstGeom>
                                      <a:noFill/>
                                      <a:ln w="9525">
                                        <a:noFill/>
                                        <a:miter lim="800000"/>
                                        <a:headEnd/>
                                        <a:tailEnd/>
                                      </a:ln>
                                    </pic:spPr>
                                  </pic:pic>
                                </a:graphicData>
                              </a:graphic>
                            </wp:inline>
                          </w:drawing>
                        </w:r>
                      </w:p>
                    </w:tc>
                  </w:tr>
                </w:tbl>
                <w:p w:rsidR="00D315A9" w:rsidRPr="00D315A9" w:rsidRDefault="00D315A9" w:rsidP="00D315A9">
                  <w:pPr>
                    <w:widowControl/>
                    <w:spacing w:line="75" w:lineRule="atLeast"/>
                    <w:jc w:val="center"/>
                    <w:rPr>
                      <w:rFonts w:ascii="宋体" w:eastAsia="宋体" w:hAnsi="宋体" w:cs="宋体"/>
                      <w:kern w:val="0"/>
                      <w:sz w:val="18"/>
                      <w:szCs w:val="18"/>
                    </w:rPr>
                  </w:pPr>
                </w:p>
              </w:tc>
            </w:tr>
            <w:tr w:rsidR="00D315A9" w:rsidRPr="00D315A9">
              <w:trPr>
                <w:tblCellSpacing w:w="0" w:type="dxa"/>
              </w:trPr>
              <w:tc>
                <w:tcPr>
                  <w:tcW w:w="0" w:type="auto"/>
                  <w:hideMark/>
                </w:tcPr>
                <w:tbl>
                  <w:tblPr>
                    <w:tblW w:w="4500" w:type="pct"/>
                    <w:jc w:val="center"/>
                    <w:tblCellSpacing w:w="0" w:type="dxa"/>
                    <w:tblBorders>
                      <w:top w:val="outset" w:sz="18" w:space="0" w:color="F1F1F1"/>
                      <w:left w:val="outset" w:sz="18" w:space="0" w:color="F1F1F1"/>
                      <w:bottom w:val="outset" w:sz="18" w:space="0" w:color="F1F1F1"/>
                      <w:right w:val="outset" w:sz="18" w:space="0" w:color="F1F1F1"/>
                    </w:tblBorders>
                    <w:tblCellMar>
                      <w:left w:w="0" w:type="dxa"/>
                      <w:right w:w="0" w:type="dxa"/>
                    </w:tblCellMar>
                    <w:tblLook w:val="04A0"/>
                  </w:tblPr>
                  <w:tblGrid>
                    <w:gridCol w:w="13216"/>
                  </w:tblGrid>
                  <w:tr w:rsidR="00D315A9" w:rsidRPr="00D315A9">
                    <w:trPr>
                      <w:trHeight w:val="1095"/>
                      <w:tblCellSpacing w:w="0" w:type="dxa"/>
                      <w:jc w:val="center"/>
                    </w:trPr>
                    <w:tc>
                      <w:tcPr>
                        <w:tcW w:w="4750" w:type="pct"/>
                        <w:tcBorders>
                          <w:top w:val="single" w:sz="6" w:space="0" w:color="E1E1E1"/>
                          <w:left w:val="single" w:sz="6" w:space="0" w:color="E1E1E1"/>
                          <w:bottom w:val="single" w:sz="6" w:space="0" w:color="E1E1E1"/>
                          <w:right w:val="single" w:sz="6" w:space="0" w:color="E1E1E1"/>
                        </w:tcBorders>
                        <w:shd w:val="clear" w:color="auto" w:fill="F9F7FD"/>
                        <w:tcMar>
                          <w:top w:w="150" w:type="dxa"/>
                          <w:left w:w="150" w:type="dxa"/>
                          <w:bottom w:w="150" w:type="dxa"/>
                          <w:right w:w="150" w:type="dxa"/>
                        </w:tcMar>
                        <w:hideMark/>
                      </w:tcPr>
                      <w:tbl>
                        <w:tblPr>
                          <w:tblW w:w="5000" w:type="pct"/>
                          <w:tblCellSpacing w:w="15" w:type="dxa"/>
                          <w:tblCellMar>
                            <w:left w:w="0" w:type="dxa"/>
                            <w:right w:w="0" w:type="dxa"/>
                          </w:tblCellMar>
                          <w:tblLook w:val="04A0"/>
                        </w:tblPr>
                        <w:tblGrid>
                          <w:gridCol w:w="12886"/>
                        </w:tblGrid>
                        <w:tr w:rsidR="00D315A9" w:rsidRPr="00D315A9">
                          <w:trPr>
                            <w:tblCellSpacing w:w="15" w:type="dxa"/>
                          </w:trPr>
                          <w:tc>
                            <w:tcPr>
                              <w:tcW w:w="0" w:type="auto"/>
                              <w:vAlign w:val="center"/>
                              <w:hideMark/>
                            </w:tcPr>
                            <w:tbl>
                              <w:tblPr>
                                <w:tblW w:w="5000" w:type="pct"/>
                                <w:tblCellSpacing w:w="0" w:type="dxa"/>
                                <w:tblCellMar>
                                  <w:left w:w="0" w:type="dxa"/>
                                  <w:right w:w="0" w:type="dxa"/>
                                </w:tblCellMar>
                                <w:tblLook w:val="04A0"/>
                              </w:tblPr>
                              <w:tblGrid>
                                <w:gridCol w:w="12826"/>
                              </w:tblGrid>
                              <w:tr w:rsidR="00D315A9" w:rsidRPr="00D315A9">
                                <w:trPr>
                                  <w:tblCellSpacing w:w="0" w:type="dxa"/>
                                </w:trPr>
                                <w:tc>
                                  <w:tcPr>
                                    <w:tcW w:w="0" w:type="auto"/>
                                    <w:hideMark/>
                                  </w:tcPr>
                                  <w:p w:rsidR="00D315A9" w:rsidRPr="00D315A9" w:rsidRDefault="00D315A9" w:rsidP="00D315A9">
                                    <w:pPr>
                                      <w:widowControl/>
                                      <w:jc w:val="left"/>
                                      <w:rPr>
                                        <w:rFonts w:ascii="宋体" w:eastAsia="宋体" w:hAnsi="宋体" w:cs="宋体"/>
                                        <w:kern w:val="0"/>
                                        <w:sz w:val="18"/>
                                        <w:szCs w:val="18"/>
                                      </w:rPr>
                                    </w:pPr>
                                  </w:p>
                                  <w:tbl>
                                    <w:tblPr>
                                      <w:tblW w:w="4800" w:type="pct"/>
                                      <w:jc w:val="center"/>
                                      <w:tblCellSpacing w:w="0" w:type="dxa"/>
                                      <w:tblCellMar>
                                        <w:left w:w="0" w:type="dxa"/>
                                        <w:right w:w="0" w:type="dxa"/>
                                      </w:tblCellMar>
                                      <w:tblLook w:val="04A0"/>
                                    </w:tblPr>
                                    <w:tblGrid>
                                      <w:gridCol w:w="12313"/>
                                    </w:tblGrid>
                                    <w:tr w:rsidR="00D315A9" w:rsidRPr="00D315A9">
                                      <w:trPr>
                                        <w:tblCellSpacing w:w="0" w:type="dxa"/>
                                        <w:jc w:val="center"/>
                                      </w:trPr>
                                      <w:tc>
                                        <w:tcPr>
                                          <w:tcW w:w="0" w:type="auto"/>
                                          <w:hideMark/>
                                        </w:tcPr>
                                        <w:p w:rsidR="00D315A9" w:rsidRPr="00D315A9" w:rsidRDefault="00D315A9" w:rsidP="00D315A9">
                                          <w:pPr>
                                            <w:widowControl/>
                                            <w:spacing w:line="560" w:lineRule="exact"/>
                                            <w:jc w:val="center"/>
                                            <w:rPr>
                                              <w:rFonts w:ascii="宋体" w:eastAsia="宋体" w:hAnsi="宋体" w:cs="宋体"/>
                                              <w:kern w:val="0"/>
                                              <w:sz w:val="24"/>
                                              <w:szCs w:val="24"/>
                                            </w:rPr>
                                          </w:pPr>
                                          <w:r w:rsidRPr="00D315A9">
                                            <w:rPr>
                                              <w:rFonts w:ascii="仿宋_GB2312" w:eastAsia="仿宋_GB2312" w:hAnsi="宋体" w:cs="宋体" w:hint="eastAsia"/>
                                              <w:b/>
                                              <w:bCs/>
                                              <w:kern w:val="0"/>
                                              <w:sz w:val="28"/>
                                              <w:szCs w:val="24"/>
                                            </w:rPr>
                                            <w:t>第一章 总  则</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8"/>
                                            </w:rPr>
                                            <w:t>第一条  为了推进本市高校教师队伍建设，促进优秀人才的成长，培养造就一批青年骨干教师，特设立上海高校青年科研骨干培养计划，简称“晨光计划”。</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第二条  “晨光计划”由上海市教育发展基金会倡议、出资，由上海市教育委员会与上海市教育发展基金会共同实施。</w:t>
                                          </w:r>
                                        </w:p>
                                        <w:p w:rsidR="00D315A9" w:rsidRPr="00D315A9" w:rsidRDefault="00D315A9" w:rsidP="00D315A9">
                                          <w:pPr>
                                            <w:widowControl/>
                                            <w:spacing w:line="560" w:lineRule="exact"/>
                                            <w:jc w:val="center"/>
                                            <w:rPr>
                                              <w:rFonts w:ascii="宋体" w:eastAsia="宋体" w:hAnsi="宋体" w:cs="宋体"/>
                                              <w:kern w:val="0"/>
                                              <w:sz w:val="24"/>
                                              <w:szCs w:val="24"/>
                                            </w:rPr>
                                          </w:pPr>
                                          <w:r w:rsidRPr="00D315A9">
                                            <w:rPr>
                                              <w:rFonts w:ascii="仿宋_GB2312" w:eastAsia="仿宋_GB2312" w:hAnsi="宋体" w:cs="宋体" w:hint="eastAsia"/>
                                              <w:b/>
                                              <w:kern w:val="0"/>
                                              <w:sz w:val="28"/>
                                              <w:szCs w:val="24"/>
                                            </w:rPr>
                                            <w:t>第二章 申  请</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第三条  “晨光计划”项目申请人应具备以下条件：</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1. 热爱祖国，积极为祖国现代化建设服务，有高尚的社会公德及职业道德；</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2. 具有一定的科研能力和发展潜力；</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3. 应具有硕士及以上学位、副高级及以下职称；</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4. 本市高校在编教师；</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5. 在申请当年1月1日，未满30周岁。</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8"/>
                                            </w:rPr>
                                            <w:t>第四条  “晨光计划”项目分自然科学研究和人文社会科学研究两大类。项目完成期限一般为12至36个月。</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8"/>
                                            </w:rPr>
                                            <w:t>第五条  “晨光计划”实行以学校为单位限额申报。</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8"/>
                                            </w:rPr>
                                            <w:t>第六条  申请人按要求认真撰写申请书，</w:t>
                                          </w:r>
                                          <w:r w:rsidRPr="00D315A9">
                                            <w:rPr>
                                              <w:rFonts w:ascii="仿宋_GB2312" w:eastAsia="仿宋_GB2312" w:hAnsi="宋体" w:cs="宋体" w:hint="eastAsia"/>
                                              <w:kern w:val="0"/>
                                              <w:sz w:val="28"/>
                                              <w:szCs w:val="24"/>
                                            </w:rPr>
                                            <w:t>保证申请材料的真实性，通过所在学校进行申请。</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8"/>
                                            </w:rPr>
                                            <w:t> </w:t>
                                          </w:r>
                                        </w:p>
                                        <w:p w:rsidR="00D315A9" w:rsidRPr="00D315A9" w:rsidRDefault="00D315A9" w:rsidP="00D315A9">
                                          <w:pPr>
                                            <w:widowControl/>
                                            <w:spacing w:line="560" w:lineRule="exact"/>
                                            <w:jc w:val="center"/>
                                            <w:rPr>
                                              <w:rFonts w:ascii="宋体" w:eastAsia="宋体" w:hAnsi="宋体" w:cs="宋体"/>
                                              <w:kern w:val="0"/>
                                              <w:sz w:val="24"/>
                                              <w:szCs w:val="24"/>
                                            </w:rPr>
                                          </w:pPr>
                                          <w:r w:rsidRPr="00D315A9">
                                            <w:rPr>
                                              <w:rFonts w:ascii="仿宋_GB2312" w:eastAsia="仿宋_GB2312" w:hAnsi="宋体" w:cs="宋体" w:hint="eastAsia"/>
                                              <w:b/>
                                              <w:kern w:val="0"/>
                                              <w:sz w:val="28"/>
                                            </w:rPr>
                                            <w:t>第三章 遴选、评审与立项</w:t>
                                          </w:r>
                                        </w:p>
                                        <w:p w:rsidR="00D315A9" w:rsidRPr="00D315A9" w:rsidRDefault="00D315A9" w:rsidP="00D315A9">
                                          <w:pPr>
                                            <w:widowControl/>
                                            <w:spacing w:line="560" w:lineRule="exact"/>
                                            <w:ind w:rightChars="-73" w:right="-153"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第七条  学校应该在校内“事前公告，事后公示”，</w:t>
                                          </w:r>
                                          <w:r w:rsidRPr="00D315A9">
                                            <w:rPr>
                                              <w:rFonts w:ascii="仿宋_GB2312" w:eastAsia="仿宋_GB2312" w:hAnsi="宋体" w:cs="宋体" w:hint="eastAsia"/>
                                              <w:kern w:val="0"/>
                                              <w:sz w:val="28"/>
                                              <w:szCs w:val="28"/>
                                            </w:rPr>
                                            <w:t>以公开遴选的方式进行民主推荐，择优选拔，集中报送。</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第八条  “晨光计划”的评审主要审查申请人的发展潜力，科研项目的科学性和可行性。</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lastRenderedPageBreak/>
                                            <w:t>第九条  上海市教育委员会和上海市教育发展基金会根据申报情况和专业领域，组织专家进行会议评审遴选。评审专家一般由5位以上相关领域的专家组成。会议评审须由项目申请者本人进行陈述和答辩。</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 xml:space="preserve">第十条  </w:t>
                                          </w:r>
                                          <w:r w:rsidRPr="00D315A9">
                                            <w:rPr>
                                              <w:rFonts w:ascii="仿宋_GB2312" w:eastAsia="仿宋_GB2312" w:hAnsi="宋体" w:cs="宋体" w:hint="eastAsia"/>
                                              <w:kern w:val="0"/>
                                              <w:sz w:val="28"/>
                                              <w:szCs w:val="28"/>
                                            </w:rPr>
                                            <w:t>“晨光计划”申报单位分为A，B两大类，A类主要为本市本科院校、B类主要为本市高职</w:t>
                                          </w:r>
                                          <w:proofErr w:type="gramStart"/>
                                          <w:r w:rsidRPr="00D315A9">
                                            <w:rPr>
                                              <w:rFonts w:ascii="仿宋_GB2312" w:eastAsia="仿宋_GB2312" w:hAnsi="宋体" w:cs="宋体" w:hint="eastAsia"/>
                                              <w:kern w:val="0"/>
                                              <w:sz w:val="28"/>
                                              <w:szCs w:val="28"/>
                                            </w:rPr>
                                            <w:t>高专及民办高校</w:t>
                                          </w:r>
                                          <w:proofErr w:type="gramEnd"/>
                                          <w:r w:rsidRPr="00D315A9">
                                            <w:rPr>
                                              <w:rFonts w:ascii="仿宋_GB2312" w:eastAsia="仿宋_GB2312" w:hAnsi="宋体" w:cs="宋体" w:hint="eastAsia"/>
                                              <w:kern w:val="0"/>
                                              <w:sz w:val="28"/>
                                              <w:szCs w:val="28"/>
                                            </w:rPr>
                                            <w:t>。审定实行A类、B类择优录取的原则，以专家组的评分为主要依据，经上海市教育委员会和上海市教育发展基金会审定公示后，正式公布。</w:t>
                                          </w:r>
                                        </w:p>
                                        <w:p w:rsidR="00D315A9" w:rsidRPr="00D315A9" w:rsidRDefault="00D315A9" w:rsidP="00D315A9">
                                          <w:pPr>
                                            <w:widowControl/>
                                            <w:spacing w:line="560" w:lineRule="exact"/>
                                            <w:jc w:val="center"/>
                                            <w:rPr>
                                              <w:rFonts w:ascii="宋体" w:eastAsia="宋体" w:hAnsi="宋体" w:cs="宋体"/>
                                              <w:kern w:val="0"/>
                                              <w:sz w:val="24"/>
                                              <w:szCs w:val="24"/>
                                            </w:rPr>
                                          </w:pPr>
                                          <w:r w:rsidRPr="00D315A9">
                                            <w:rPr>
                                              <w:rFonts w:ascii="仿宋_GB2312" w:eastAsia="仿宋_GB2312" w:hAnsi="宋体" w:cs="宋体" w:hint="eastAsia"/>
                                              <w:b/>
                                              <w:kern w:val="0"/>
                                              <w:sz w:val="28"/>
                                            </w:rPr>
                                            <w:t>第四章 经费与管理</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8"/>
                                            </w:rPr>
                                            <w:t>第十一条  “晨光计划”项目经费分二次拨付，立项当年下拨80%，项目通过验收后下拨20%。</w:t>
                                          </w:r>
                                          <w:r w:rsidRPr="00D315A9">
                                            <w:rPr>
                                              <w:rFonts w:ascii="仿宋_GB2312" w:eastAsia="仿宋_GB2312" w:hAnsi="宋体" w:cs="宋体" w:hint="eastAsia"/>
                                              <w:kern w:val="0"/>
                                              <w:sz w:val="28"/>
                                              <w:szCs w:val="24"/>
                                            </w:rPr>
                                            <w:t>经批准的“晨光计划”项目经费，由上海市教育发展基金会拨付至项目承担学校。</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第十二条  “晨光计划”项目经费专款专用，在单位财务制度规定范围内，项目负责人可根据研究工作需要，合理使用研究经费，以确保研究工作按时完成。</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第十三条  “晨光计划”日常管理工作由上海市教育委员会和上海市教育发展基金会共同实施。学校科研管理部门应跟踪检查项目研究进展情况，督促项目负责人按时完成研究工作，并负有监督研究项目资金合理使用的职责。</w:t>
                                          </w:r>
                                        </w:p>
                                        <w:p w:rsidR="00D315A9" w:rsidRPr="00D315A9" w:rsidRDefault="00D315A9" w:rsidP="00D315A9">
                                          <w:pPr>
                                            <w:widowControl/>
                                            <w:spacing w:line="560" w:lineRule="exact"/>
                                            <w:jc w:val="center"/>
                                            <w:rPr>
                                              <w:rFonts w:ascii="宋体" w:eastAsia="宋体" w:hAnsi="宋体" w:cs="宋体"/>
                                              <w:kern w:val="0"/>
                                              <w:sz w:val="24"/>
                                              <w:szCs w:val="24"/>
                                            </w:rPr>
                                          </w:pPr>
                                          <w:r w:rsidRPr="00D315A9">
                                            <w:rPr>
                                              <w:rFonts w:ascii="仿宋_GB2312" w:eastAsia="仿宋_GB2312" w:hAnsi="宋体" w:cs="宋体" w:hint="eastAsia"/>
                                              <w:b/>
                                              <w:bCs/>
                                              <w:kern w:val="0"/>
                                              <w:sz w:val="28"/>
                                              <w:szCs w:val="24"/>
                                            </w:rPr>
                                            <w:t>第五章 项目验收</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第十四条  项目负责人应严格按正式批准的申请书中所规定的内容、指标、进度进行工作，不得擅自降低预定目标、减少研究内容。</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第十五条  项目完成后由上海市教育委员会和上海市教育发展基金会组织项目验收。项目验收实施细则另行发布。</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第十六条  在项目执行过程中，如确因无法继续实施，应由本人提出书面申请，说明原因，学校科研管理部门审核后报上海市教育委员会和上海市教育发展基金会，经上海市教育委员会和上海市教育发展基金会审核同意后撤销，并停止后续经费资助。对缺乏科研道德、弄虚作假者将予以通报并追回已</w:t>
                                          </w:r>
                                          <w:proofErr w:type="gramStart"/>
                                          <w:r w:rsidRPr="00D315A9">
                                            <w:rPr>
                                              <w:rFonts w:ascii="仿宋_GB2312" w:eastAsia="仿宋_GB2312" w:hAnsi="宋体" w:cs="宋体" w:hint="eastAsia"/>
                                              <w:kern w:val="0"/>
                                              <w:sz w:val="28"/>
                                              <w:szCs w:val="24"/>
                                            </w:rPr>
                                            <w:t>拨项目</w:t>
                                          </w:r>
                                          <w:proofErr w:type="gramEnd"/>
                                          <w:r w:rsidRPr="00D315A9">
                                            <w:rPr>
                                              <w:rFonts w:ascii="仿宋_GB2312" w:eastAsia="仿宋_GB2312" w:hAnsi="宋体" w:cs="宋体" w:hint="eastAsia"/>
                                              <w:kern w:val="0"/>
                                              <w:sz w:val="28"/>
                                              <w:szCs w:val="24"/>
                                            </w:rPr>
                                            <w:t>经费。</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第十七条   凡“晨光计划”取得的研究成果或其他文字资料报道，在交流、发表、出版时应注</w:t>
                                          </w:r>
                                          <w:r w:rsidRPr="00D315A9">
                                            <w:rPr>
                                              <w:rFonts w:ascii="仿宋_GB2312" w:eastAsia="仿宋_GB2312" w:hAnsi="宋体" w:cs="宋体" w:hint="eastAsia"/>
                                              <w:kern w:val="0"/>
                                              <w:sz w:val="28"/>
                                              <w:szCs w:val="24"/>
                                            </w:rPr>
                                            <w:lastRenderedPageBreak/>
                                            <w:t xml:space="preserve">明该项目由上海市教育委员会和上海市教育发展基金会“晨光计划”资助字样，英文标注为：“Chen </w:t>
                                          </w:r>
                                          <w:proofErr w:type="spellStart"/>
                                          <w:r w:rsidRPr="00D315A9">
                                            <w:rPr>
                                              <w:rFonts w:ascii="仿宋_GB2312" w:eastAsia="仿宋_GB2312" w:hAnsi="宋体" w:cs="宋体" w:hint="eastAsia"/>
                                              <w:kern w:val="0"/>
                                              <w:sz w:val="28"/>
                                              <w:szCs w:val="24"/>
                                            </w:rPr>
                                            <w:t>Guang</w:t>
                                          </w:r>
                                          <w:proofErr w:type="spellEnd"/>
                                          <w:r w:rsidRPr="00D315A9">
                                            <w:rPr>
                                              <w:rFonts w:ascii="仿宋_GB2312" w:eastAsia="仿宋_GB2312" w:hAnsi="宋体" w:cs="宋体" w:hint="eastAsia"/>
                                              <w:kern w:val="0"/>
                                              <w:sz w:val="28"/>
                                              <w:szCs w:val="24"/>
                                            </w:rPr>
                                            <w:t>” project supported by Shanghai Municipal Education Commission and Shanghai Education Development Foundation。</w:t>
                                          </w:r>
                                        </w:p>
                                        <w:p w:rsidR="00D315A9" w:rsidRPr="00D315A9" w:rsidRDefault="00D315A9" w:rsidP="00D315A9">
                                          <w:pPr>
                                            <w:widowControl/>
                                            <w:spacing w:line="560" w:lineRule="exact"/>
                                            <w:jc w:val="center"/>
                                            <w:rPr>
                                              <w:rFonts w:ascii="宋体" w:eastAsia="宋体" w:hAnsi="宋体" w:cs="宋体"/>
                                              <w:kern w:val="0"/>
                                              <w:sz w:val="24"/>
                                              <w:szCs w:val="24"/>
                                            </w:rPr>
                                          </w:pPr>
                                          <w:r w:rsidRPr="00D315A9">
                                            <w:rPr>
                                              <w:rFonts w:ascii="仿宋_GB2312" w:eastAsia="仿宋_GB2312" w:hAnsi="宋体" w:cs="宋体" w:hint="eastAsia"/>
                                              <w:b/>
                                              <w:bCs/>
                                              <w:kern w:val="0"/>
                                              <w:sz w:val="28"/>
                                              <w:szCs w:val="24"/>
                                            </w:rPr>
                                            <w:t>第六章 其他</w:t>
                                          </w:r>
                                        </w:p>
                                        <w:p w:rsidR="00D315A9" w:rsidRPr="00D315A9" w:rsidRDefault="00D315A9" w:rsidP="00D315A9">
                                          <w:pPr>
                                            <w:widowControl/>
                                            <w:spacing w:line="560" w:lineRule="exact"/>
                                            <w:ind w:firstLineChars="200" w:firstLine="560"/>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第十八条  本办法的解释权属于上海市教育委员会、上海市教育发展基金会。</w:t>
                                          </w:r>
                                        </w:p>
                                        <w:p w:rsidR="00D315A9" w:rsidRPr="00D315A9" w:rsidRDefault="00D315A9" w:rsidP="00D315A9">
                                          <w:pPr>
                                            <w:widowControl/>
                                            <w:spacing w:line="560" w:lineRule="exact"/>
                                            <w:jc w:val="left"/>
                                            <w:rPr>
                                              <w:rFonts w:ascii="宋体" w:eastAsia="宋体" w:hAnsi="宋体" w:cs="宋体"/>
                                              <w:kern w:val="0"/>
                                              <w:sz w:val="24"/>
                                              <w:szCs w:val="24"/>
                                            </w:rPr>
                                          </w:pPr>
                                          <w:r w:rsidRPr="00D315A9">
                                            <w:rPr>
                                              <w:rFonts w:ascii="仿宋_GB2312" w:eastAsia="仿宋_GB2312" w:hAnsi="宋体" w:cs="宋体" w:hint="eastAsia"/>
                                              <w:kern w:val="0"/>
                                              <w:sz w:val="28"/>
                                              <w:szCs w:val="24"/>
                                            </w:rPr>
                                            <w:t xml:space="preserve">    第十九条  本办法自颁布之日起生效。</w:t>
                                          </w:r>
                                        </w:p>
                                      </w:tc>
                                    </w:tr>
                                  </w:tbl>
                                  <w:p w:rsidR="00D315A9" w:rsidRPr="00D315A9" w:rsidRDefault="00D315A9" w:rsidP="00D315A9">
                                    <w:pPr>
                                      <w:widowControl/>
                                      <w:jc w:val="left"/>
                                      <w:rPr>
                                        <w:rFonts w:ascii="宋体" w:eastAsia="宋体" w:hAnsi="宋体" w:cs="宋体"/>
                                        <w:kern w:val="0"/>
                                        <w:sz w:val="18"/>
                                        <w:szCs w:val="18"/>
                                      </w:rPr>
                                    </w:pPr>
                                  </w:p>
                                </w:tc>
                              </w:tr>
                            </w:tbl>
                            <w:p w:rsidR="00D315A9" w:rsidRPr="00D315A9" w:rsidRDefault="00D315A9" w:rsidP="00D315A9">
                              <w:pPr>
                                <w:widowControl/>
                                <w:jc w:val="left"/>
                                <w:rPr>
                                  <w:rFonts w:ascii="宋体" w:eastAsia="宋体" w:hAnsi="宋体" w:cs="宋体"/>
                                  <w:kern w:val="0"/>
                                  <w:sz w:val="18"/>
                                  <w:szCs w:val="18"/>
                                </w:rPr>
                              </w:pPr>
                            </w:p>
                          </w:tc>
                        </w:tr>
                      </w:tbl>
                      <w:p w:rsidR="00D315A9" w:rsidRPr="00D315A9" w:rsidRDefault="00D315A9" w:rsidP="00D315A9">
                        <w:pPr>
                          <w:widowControl/>
                          <w:jc w:val="left"/>
                          <w:rPr>
                            <w:rFonts w:ascii="宋体" w:eastAsia="宋体" w:hAnsi="宋体" w:cs="宋体"/>
                            <w:kern w:val="0"/>
                            <w:sz w:val="18"/>
                            <w:szCs w:val="18"/>
                          </w:rPr>
                        </w:pPr>
                      </w:p>
                    </w:tc>
                  </w:tr>
                </w:tbl>
                <w:p w:rsidR="00D315A9" w:rsidRPr="00D315A9" w:rsidRDefault="00D315A9" w:rsidP="00D315A9">
                  <w:pPr>
                    <w:widowControl/>
                    <w:jc w:val="left"/>
                    <w:rPr>
                      <w:rFonts w:ascii="宋体" w:eastAsia="宋体" w:hAnsi="宋体" w:cs="宋体"/>
                      <w:kern w:val="0"/>
                      <w:sz w:val="18"/>
                      <w:szCs w:val="18"/>
                    </w:rPr>
                  </w:pPr>
                </w:p>
              </w:tc>
            </w:tr>
          </w:tbl>
          <w:p w:rsidR="00D315A9" w:rsidRPr="00D315A9" w:rsidRDefault="00D315A9" w:rsidP="00D315A9">
            <w:pPr>
              <w:widowControl/>
              <w:jc w:val="left"/>
              <w:rPr>
                <w:rFonts w:ascii="宋体" w:eastAsia="宋体" w:hAnsi="宋体" w:cs="宋体"/>
                <w:kern w:val="0"/>
                <w:sz w:val="18"/>
                <w:szCs w:val="18"/>
              </w:rPr>
            </w:pPr>
          </w:p>
        </w:tc>
      </w:tr>
    </w:tbl>
    <w:p w:rsidR="006D6028" w:rsidRPr="00D315A9" w:rsidRDefault="006D6028">
      <w:pPr>
        <w:rPr>
          <w:rFonts w:hint="eastAsia"/>
        </w:rPr>
      </w:pPr>
    </w:p>
    <w:sectPr w:rsidR="006D6028" w:rsidRPr="00D315A9" w:rsidSect="006D60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15A9"/>
    <w:rsid w:val="000310DE"/>
    <w:rsid w:val="0004452F"/>
    <w:rsid w:val="00080781"/>
    <w:rsid w:val="000975B1"/>
    <w:rsid w:val="000C6B54"/>
    <w:rsid w:val="0011573F"/>
    <w:rsid w:val="0020309B"/>
    <w:rsid w:val="002418C5"/>
    <w:rsid w:val="0026010B"/>
    <w:rsid w:val="00265546"/>
    <w:rsid w:val="0026646E"/>
    <w:rsid w:val="00277C54"/>
    <w:rsid w:val="002B6C4D"/>
    <w:rsid w:val="00307917"/>
    <w:rsid w:val="003325E4"/>
    <w:rsid w:val="00352144"/>
    <w:rsid w:val="0035272B"/>
    <w:rsid w:val="00372B99"/>
    <w:rsid w:val="00390E26"/>
    <w:rsid w:val="0041555D"/>
    <w:rsid w:val="004E5A59"/>
    <w:rsid w:val="00523698"/>
    <w:rsid w:val="00532CCB"/>
    <w:rsid w:val="005A7A29"/>
    <w:rsid w:val="005E021B"/>
    <w:rsid w:val="0061188F"/>
    <w:rsid w:val="00615459"/>
    <w:rsid w:val="00652733"/>
    <w:rsid w:val="0067584D"/>
    <w:rsid w:val="006C6146"/>
    <w:rsid w:val="006C7B92"/>
    <w:rsid w:val="006D6028"/>
    <w:rsid w:val="007D3F6F"/>
    <w:rsid w:val="00800B34"/>
    <w:rsid w:val="00841062"/>
    <w:rsid w:val="0085276F"/>
    <w:rsid w:val="008748DB"/>
    <w:rsid w:val="008C4C4D"/>
    <w:rsid w:val="008D4020"/>
    <w:rsid w:val="008E1335"/>
    <w:rsid w:val="009206DC"/>
    <w:rsid w:val="009618E8"/>
    <w:rsid w:val="00A05B11"/>
    <w:rsid w:val="00A22F67"/>
    <w:rsid w:val="00A2324A"/>
    <w:rsid w:val="00A25AC5"/>
    <w:rsid w:val="00A7373E"/>
    <w:rsid w:val="00AB022F"/>
    <w:rsid w:val="00AC724A"/>
    <w:rsid w:val="00AD24DC"/>
    <w:rsid w:val="00B12E51"/>
    <w:rsid w:val="00B13932"/>
    <w:rsid w:val="00B44267"/>
    <w:rsid w:val="00B76F5D"/>
    <w:rsid w:val="00B94C03"/>
    <w:rsid w:val="00BC4C93"/>
    <w:rsid w:val="00BD5098"/>
    <w:rsid w:val="00C067CC"/>
    <w:rsid w:val="00C23B55"/>
    <w:rsid w:val="00C30985"/>
    <w:rsid w:val="00CB58A3"/>
    <w:rsid w:val="00CC1627"/>
    <w:rsid w:val="00CE3944"/>
    <w:rsid w:val="00D315A9"/>
    <w:rsid w:val="00D52BD8"/>
    <w:rsid w:val="00D722F5"/>
    <w:rsid w:val="00D75EB5"/>
    <w:rsid w:val="00D83523"/>
    <w:rsid w:val="00DA5902"/>
    <w:rsid w:val="00DD340B"/>
    <w:rsid w:val="00E207B7"/>
    <w:rsid w:val="00E36655"/>
    <w:rsid w:val="00E36C3E"/>
    <w:rsid w:val="00E4597C"/>
    <w:rsid w:val="00E8242F"/>
    <w:rsid w:val="00E8580A"/>
    <w:rsid w:val="00EF54B5"/>
    <w:rsid w:val="00F1472C"/>
    <w:rsid w:val="00FD3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0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D315A9"/>
  </w:style>
  <w:style w:type="character" w:customStyle="1" w:styleId="style6">
    <w:name w:val="style6"/>
    <w:basedOn w:val="a0"/>
    <w:rsid w:val="00D315A9"/>
  </w:style>
  <w:style w:type="character" w:customStyle="1" w:styleId="articlepublishdate">
    <w:name w:val="article_publishdate"/>
    <w:basedOn w:val="a0"/>
    <w:rsid w:val="00D315A9"/>
  </w:style>
  <w:style w:type="character" w:styleId="a3">
    <w:name w:val="Strong"/>
    <w:basedOn w:val="a0"/>
    <w:uiPriority w:val="22"/>
    <w:qFormat/>
    <w:rsid w:val="00D315A9"/>
    <w:rPr>
      <w:b/>
      <w:bCs/>
    </w:rPr>
  </w:style>
  <w:style w:type="paragraph" w:styleId="a4">
    <w:name w:val="Balloon Text"/>
    <w:basedOn w:val="a"/>
    <w:link w:val="Char"/>
    <w:uiPriority w:val="99"/>
    <w:semiHidden/>
    <w:unhideWhenUsed/>
    <w:rsid w:val="00D315A9"/>
    <w:rPr>
      <w:sz w:val="18"/>
      <w:szCs w:val="18"/>
    </w:rPr>
  </w:style>
  <w:style w:type="character" w:customStyle="1" w:styleId="Char">
    <w:name w:val="批注框文本 Char"/>
    <w:basedOn w:val="a0"/>
    <w:link w:val="a4"/>
    <w:uiPriority w:val="99"/>
    <w:semiHidden/>
    <w:rsid w:val="00D315A9"/>
    <w:rPr>
      <w:sz w:val="18"/>
      <w:szCs w:val="18"/>
    </w:rPr>
  </w:style>
</w:styles>
</file>

<file path=word/webSettings.xml><?xml version="1.0" encoding="utf-8"?>
<w:webSettings xmlns:r="http://schemas.openxmlformats.org/officeDocument/2006/relationships" xmlns:w="http://schemas.openxmlformats.org/wordprocessingml/2006/main">
  <w:divs>
    <w:div w:id="1514107392">
      <w:bodyDiv w:val="1"/>
      <w:marLeft w:val="0"/>
      <w:marRight w:val="0"/>
      <w:marTop w:val="0"/>
      <w:marBottom w:val="0"/>
      <w:divBdr>
        <w:top w:val="none" w:sz="0" w:space="0" w:color="auto"/>
        <w:left w:val="none" w:sz="0" w:space="0" w:color="auto"/>
        <w:bottom w:val="none" w:sz="0" w:space="0" w:color="auto"/>
        <w:right w:val="none" w:sz="0" w:space="0" w:color="auto"/>
      </w:divBdr>
      <w:divsChild>
        <w:div w:id="2013869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233</Words>
  <Characters>1334</Characters>
  <Application>Microsoft Office Word</Application>
  <DocSecurity>0</DocSecurity>
  <Lines>11</Lines>
  <Paragraphs>3</Paragraphs>
  <ScaleCrop>false</ScaleCrop>
  <Company>Shisu</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张耿</dc:creator>
  <cp:keywords/>
  <dc:description/>
  <cp:lastModifiedBy>张耿</cp:lastModifiedBy>
  <cp:revision>1</cp:revision>
  <dcterms:created xsi:type="dcterms:W3CDTF">2015-04-20T03:20:00Z</dcterms:created>
  <dcterms:modified xsi:type="dcterms:W3CDTF">2015-04-20T03:36:00Z</dcterms:modified>
</cp:coreProperties>
</file>